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552D4" w14:textId="77777777" w:rsidR="005B3B7C" w:rsidRPr="00E82C69" w:rsidRDefault="00AD3E01">
      <w:r w:rsidRPr="00E82C69">
        <w:t>Spatial diversity of halite nodule microbiomes</w:t>
      </w:r>
    </w:p>
    <w:p w14:paraId="77475FDC" w14:textId="77777777" w:rsidR="00AD3E01" w:rsidRPr="00E82C69" w:rsidRDefault="00AD3E01"/>
    <w:p w14:paraId="08357AC1" w14:textId="77777777" w:rsidR="00AD3E01" w:rsidRPr="00E82C69" w:rsidRDefault="00AD3E01">
      <w:r w:rsidRPr="00E82C69">
        <w:t>Results:</w:t>
      </w:r>
    </w:p>
    <w:p w14:paraId="06B2ED19" w14:textId="77777777" w:rsidR="00AD3E01" w:rsidRPr="00E82C69" w:rsidRDefault="00AD3E01"/>
    <w:p w14:paraId="193E874A" w14:textId="77777777" w:rsidR="00AD3E01" w:rsidRPr="00E82C69" w:rsidRDefault="00AD3E01" w:rsidP="00AD3E01">
      <w:pPr>
        <w:pStyle w:val="ListParagraph"/>
        <w:numPr>
          <w:ilvl w:val="0"/>
          <w:numId w:val="1"/>
        </w:numPr>
        <w:rPr>
          <w:rFonts w:ascii="Times New Roman" w:hAnsi="Times New Roman" w:cs="Times New Roman"/>
        </w:rPr>
      </w:pPr>
      <w:r w:rsidRPr="00E82C69">
        <w:rPr>
          <w:rFonts w:ascii="Times New Roman" w:hAnsi="Times New Roman" w:cs="Times New Roman"/>
        </w:rPr>
        <w:t>Halite microbiome composition is significantly different between major regions of Salar Grande. Specifically, SG1-Top is very different from SG2-Top. Rock topologies are not significantly different, but the weather is, and humidity differences likely drive the composition differences.</w:t>
      </w:r>
      <w:r w:rsidR="007A466D" w:rsidRPr="00E82C69">
        <w:rPr>
          <w:rFonts w:ascii="Times New Roman" w:hAnsi="Times New Roman" w:cs="Times New Roman"/>
        </w:rPr>
        <w:t xml:space="preserve"> The composition as a whole is affected, but also phyla abundances are affected. This means that the composition at this high level are influenced by deterministic environmental differences.</w:t>
      </w:r>
    </w:p>
    <w:p w14:paraId="29252C2F" w14:textId="77777777" w:rsidR="00816280" w:rsidRPr="00E82C69" w:rsidRDefault="00816280" w:rsidP="00816280"/>
    <w:p w14:paraId="341E4753" w14:textId="77777777" w:rsidR="0037712C" w:rsidRPr="00E82C69" w:rsidRDefault="0037712C">
      <w:r w:rsidRPr="00E82C69">
        <w:br w:type="page"/>
      </w:r>
    </w:p>
    <w:p w14:paraId="637D4D1E" w14:textId="0136F33E" w:rsidR="00816280" w:rsidRPr="00E82C69" w:rsidRDefault="00816280" w:rsidP="00816280">
      <w:r w:rsidRPr="00E82C69">
        <w:rPr>
          <w:noProof/>
        </w:rPr>
        <w:lastRenderedPageBreak/>
        <w:drawing>
          <wp:inline distT="0" distB="0" distL="0" distR="0" wp14:anchorId="06F8ECE0" wp14:editId="60BF5F64">
            <wp:extent cx="5880735" cy="5880735"/>
            <wp:effectExtent l="0" t="0" r="1206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83380" cy="5883380"/>
                    </a:xfrm>
                    <a:prstGeom prst="rect">
                      <a:avLst/>
                    </a:prstGeom>
                  </pic:spPr>
                </pic:pic>
              </a:graphicData>
            </a:graphic>
          </wp:inline>
        </w:drawing>
      </w:r>
    </w:p>
    <w:p w14:paraId="126DE5C2" w14:textId="73BA28D5" w:rsidR="00816280" w:rsidRPr="00E82C69" w:rsidRDefault="00816280" w:rsidP="00816280">
      <w:pPr>
        <w:rPr>
          <w:i/>
        </w:rPr>
      </w:pPr>
      <w:r w:rsidRPr="00E82C69">
        <w:rPr>
          <w:i/>
        </w:rPr>
        <w:t>Comparing weather in SG1 and SG2. SG2 appears to be overall hotter and dryer than SG1</w:t>
      </w:r>
      <w:r w:rsidR="00C17650" w:rsidRPr="00E82C69">
        <w:rPr>
          <w:i/>
        </w:rPr>
        <w:t xml:space="preserve">. However, the humidity fluctuations in SG2 are less extreme - at night SG2 does not get as humid as SG1, but in the day SG2 remains more humid than SG1. </w:t>
      </w:r>
    </w:p>
    <w:p w14:paraId="78B5DBB2" w14:textId="77777777" w:rsidR="00C17650" w:rsidRPr="00E82C69" w:rsidRDefault="00C17650" w:rsidP="00816280"/>
    <w:p w14:paraId="47BD663E" w14:textId="77777777" w:rsidR="00C17650" w:rsidRPr="00E82C69" w:rsidRDefault="00C17650" w:rsidP="00816280"/>
    <w:p w14:paraId="59045243" w14:textId="77777777" w:rsidR="00816280" w:rsidRPr="00E82C69" w:rsidRDefault="00816280" w:rsidP="00816280"/>
    <w:p w14:paraId="41E27D0E" w14:textId="77777777" w:rsidR="0037712C" w:rsidRPr="00E82C69" w:rsidRDefault="0037712C" w:rsidP="00816280"/>
    <w:p w14:paraId="68173099" w14:textId="77777777" w:rsidR="004A338B" w:rsidRPr="00E82C69" w:rsidRDefault="004A338B">
      <w:r w:rsidRPr="00E82C69">
        <w:br w:type="page"/>
      </w:r>
    </w:p>
    <w:p w14:paraId="28E45050" w14:textId="7D31BF67" w:rsidR="0037712C" w:rsidRPr="00E82C69" w:rsidRDefault="008D55E2" w:rsidP="00816280">
      <w:r>
        <w:rPr>
          <w:noProof/>
        </w:rPr>
        <w:drawing>
          <wp:inline distT="0" distB="0" distL="0" distR="0" wp14:anchorId="7888C02F" wp14:editId="6D6E92CA">
            <wp:extent cx="5943600" cy="3952875"/>
            <wp:effectExtent l="0" t="0" r="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01097FC" w14:textId="6186A091" w:rsidR="0037712C" w:rsidRDefault="00E82C69">
      <w:pPr>
        <w:rPr>
          <w:i/>
        </w:rPr>
      </w:pPr>
      <w:r w:rsidRPr="00E82C69">
        <w:rPr>
          <w:i/>
        </w:rPr>
        <w:t>Topography comparison between SG1 and SG2 regions, measured with the relative coverage of the ground with halite nodules at different stages of development. No significant surface coverage was found between SG1 and SG2 (two-tail equal variance t-tests).</w:t>
      </w:r>
      <w:r w:rsidR="0037712C" w:rsidRPr="00E82C69">
        <w:rPr>
          <w:i/>
        </w:rPr>
        <w:br w:type="page"/>
      </w:r>
    </w:p>
    <w:p w14:paraId="49D2B1E9" w14:textId="77777777" w:rsidR="00B00FBA" w:rsidRPr="00E82C69" w:rsidRDefault="00B00FBA" w:rsidP="00B00FBA">
      <w:r w:rsidRPr="00E82C69">
        <w:rPr>
          <w:noProof/>
        </w:rPr>
        <w:drawing>
          <wp:inline distT="0" distB="0" distL="0" distR="0" wp14:anchorId="274675B8" wp14:editId="551EC9DE">
            <wp:extent cx="5943600" cy="28073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7335"/>
                    </a:xfrm>
                    <a:prstGeom prst="rect">
                      <a:avLst/>
                    </a:prstGeom>
                  </pic:spPr>
                </pic:pic>
              </a:graphicData>
            </a:graphic>
          </wp:inline>
        </w:drawing>
      </w:r>
    </w:p>
    <w:p w14:paraId="330022DE" w14:textId="77777777" w:rsidR="00B00FBA" w:rsidRPr="00E82C69" w:rsidRDefault="00B00FBA" w:rsidP="00B00FBA">
      <w:pPr>
        <w:rPr>
          <w:rFonts w:eastAsia="Times New Roman"/>
          <w:i/>
        </w:rPr>
      </w:pPr>
      <w:proofErr w:type="spellStart"/>
      <w:r w:rsidRPr="00E82C69">
        <w:rPr>
          <w:i/>
        </w:rPr>
        <w:t>PCoA</w:t>
      </w:r>
      <w:proofErr w:type="spellEnd"/>
      <w:r w:rsidRPr="00E82C69">
        <w:rPr>
          <w:i/>
        </w:rPr>
        <w:t xml:space="preserve"> of weighted </w:t>
      </w:r>
      <w:proofErr w:type="spellStart"/>
      <w:r w:rsidRPr="00E82C69">
        <w:rPr>
          <w:i/>
        </w:rPr>
        <w:t>Unifrac</w:t>
      </w:r>
      <w:proofErr w:type="spellEnd"/>
      <w:r w:rsidRPr="00E82C69">
        <w:rPr>
          <w:i/>
        </w:rPr>
        <w:t xml:space="preserve"> dissimilarity matrix of 16S rDNA amplicon sequences from SG1 (red rings) and SG2 (blue diamonds). Difference is significant (PERMANOVA: </w:t>
      </w:r>
      <w:proofErr w:type="spellStart"/>
      <w:r w:rsidRPr="00E82C69">
        <w:rPr>
          <w:i/>
        </w:rPr>
        <w:t>pval</w:t>
      </w:r>
      <w:proofErr w:type="spellEnd"/>
      <w:r w:rsidRPr="00E82C69">
        <w:rPr>
          <w:i/>
        </w:rPr>
        <w:t>&lt;0.001, test statistic=</w:t>
      </w:r>
      <w:r w:rsidRPr="00E82C69">
        <w:rPr>
          <w:rFonts w:eastAsia="Times New Roman"/>
          <w:i/>
        </w:rPr>
        <w:t xml:space="preserve"> 28.36</w:t>
      </w:r>
      <w:r w:rsidRPr="00E82C69">
        <w:rPr>
          <w:i/>
        </w:rPr>
        <w:t>).</w:t>
      </w:r>
    </w:p>
    <w:p w14:paraId="238F418E" w14:textId="77777777" w:rsidR="00B00FBA" w:rsidRPr="00E82C69" w:rsidRDefault="00B00FBA">
      <w:pPr>
        <w:rPr>
          <w:i/>
        </w:rPr>
      </w:pPr>
    </w:p>
    <w:p w14:paraId="3E2C9B3F" w14:textId="77777777" w:rsidR="00B00FBA" w:rsidRDefault="00B00FBA">
      <w:r>
        <w:br w:type="page"/>
      </w:r>
    </w:p>
    <w:p w14:paraId="0DBA7B28" w14:textId="0429DC8E" w:rsidR="00B00FBA" w:rsidRPr="00E82C69" w:rsidRDefault="009723FA" w:rsidP="00DC586D">
      <w:pPr>
        <w:ind w:left="720" w:hanging="720"/>
      </w:pPr>
      <w:bookmarkStart w:id="0" w:name="_GoBack"/>
      <w:r w:rsidRPr="009723FA">
        <w:rPr>
          <w:noProof/>
        </w:rPr>
        <w:drawing>
          <wp:inline distT="0" distB="0" distL="0" distR="0" wp14:anchorId="54FEF556" wp14:editId="2339DB80">
            <wp:extent cx="5943600" cy="3991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91610"/>
                    </a:xfrm>
                    <a:prstGeom prst="rect">
                      <a:avLst/>
                    </a:prstGeom>
                  </pic:spPr>
                </pic:pic>
              </a:graphicData>
            </a:graphic>
          </wp:inline>
        </w:drawing>
      </w:r>
      <w:bookmarkEnd w:id="0"/>
    </w:p>
    <w:p w14:paraId="46137251" w14:textId="7531A4E7" w:rsidR="00B00FBA" w:rsidRPr="00E82C69" w:rsidRDefault="00B00FBA" w:rsidP="00B00FBA">
      <w:pPr>
        <w:rPr>
          <w:i/>
        </w:rPr>
      </w:pPr>
      <w:r w:rsidRPr="00E82C69">
        <w:rPr>
          <w:i/>
        </w:rPr>
        <w:t>Relative taxonomy composition of SG1 and SG2 locations at the D3 (class level). Cyanobacteria are significantly mo</w:t>
      </w:r>
      <w:r w:rsidR="009723FA">
        <w:rPr>
          <w:i/>
        </w:rPr>
        <w:t>re abundant in SG1, while P</w:t>
      </w:r>
      <w:r w:rsidRPr="00E82C69">
        <w:rPr>
          <w:i/>
        </w:rPr>
        <w:t xml:space="preserve">roteobacteria were more </w:t>
      </w:r>
      <w:r w:rsidR="006B6910">
        <w:rPr>
          <w:i/>
        </w:rPr>
        <w:t xml:space="preserve">[relative] </w:t>
      </w:r>
      <w:r w:rsidRPr="00E82C69">
        <w:rPr>
          <w:i/>
        </w:rPr>
        <w:t>a</w:t>
      </w:r>
      <w:r w:rsidR="009723FA">
        <w:rPr>
          <w:i/>
        </w:rPr>
        <w:t>bundant in SG2 (ANCOM, W=10</w:t>
      </w:r>
      <w:r w:rsidRPr="00E82C69">
        <w:rPr>
          <w:i/>
        </w:rPr>
        <w:t xml:space="preserve">). At the domain level, Archaea was significantly more </w:t>
      </w:r>
      <w:r w:rsidR="006B6910">
        <w:rPr>
          <w:i/>
        </w:rPr>
        <w:t xml:space="preserve">[relative] </w:t>
      </w:r>
      <w:r w:rsidRPr="00E82C69">
        <w:rPr>
          <w:i/>
        </w:rPr>
        <w:t>abundant in SG1 (ANCOM, W=2). Interestingly, no significantly differential taxa were detected at the ASV (amplicon sequence variant) level.</w:t>
      </w:r>
    </w:p>
    <w:p w14:paraId="73155D85" w14:textId="77777777" w:rsidR="00B00FBA" w:rsidRPr="00E82C69" w:rsidRDefault="00B00FBA" w:rsidP="00B00FBA"/>
    <w:p w14:paraId="3A7432A2" w14:textId="77777777" w:rsidR="0037712C" w:rsidRPr="00E82C69" w:rsidRDefault="0037712C"/>
    <w:p w14:paraId="16C752DC" w14:textId="77777777" w:rsidR="0037712C" w:rsidRPr="00E82C69" w:rsidRDefault="0037712C"/>
    <w:p w14:paraId="77C28BDF" w14:textId="77777777" w:rsidR="0037712C" w:rsidRPr="00E82C69" w:rsidRDefault="0037712C"/>
    <w:p w14:paraId="7D7CF4ED" w14:textId="77777777" w:rsidR="0037712C" w:rsidRPr="00E82C69" w:rsidRDefault="0037712C"/>
    <w:p w14:paraId="3DCD1F4F" w14:textId="77777777" w:rsidR="0037712C" w:rsidRPr="00E82C69" w:rsidRDefault="0037712C"/>
    <w:p w14:paraId="36053C0B" w14:textId="77777777" w:rsidR="003E76F0" w:rsidRPr="00E82C69" w:rsidRDefault="003E76F0">
      <w:r w:rsidRPr="00E82C69">
        <w:br w:type="page"/>
      </w:r>
    </w:p>
    <w:p w14:paraId="0ED8E5FF" w14:textId="28BB56FF" w:rsidR="00AD3E01" w:rsidRPr="00E82C69" w:rsidRDefault="00AD3E01" w:rsidP="00AD3E01">
      <w:pPr>
        <w:pStyle w:val="ListParagraph"/>
        <w:numPr>
          <w:ilvl w:val="0"/>
          <w:numId w:val="1"/>
        </w:numPr>
        <w:rPr>
          <w:rFonts w:ascii="Times New Roman" w:hAnsi="Times New Roman" w:cs="Times New Roman"/>
        </w:rPr>
      </w:pPr>
      <w:r w:rsidRPr="00E82C69">
        <w:rPr>
          <w:rFonts w:ascii="Times New Roman" w:hAnsi="Times New Roman" w:cs="Times New Roman"/>
        </w:rPr>
        <w:t xml:space="preserve">Composition of halite nodules at the same location (SG1) is different between the top and bottom of a small hill. The topography of the rocks is drastically different between these locations, which could influence colonization. Also, the humidity and temperature conditions are also different, which we already </w:t>
      </w:r>
      <w:r w:rsidR="007A466D" w:rsidRPr="00E82C69">
        <w:rPr>
          <w:rFonts w:ascii="Times New Roman" w:hAnsi="Times New Roman" w:cs="Times New Roman"/>
        </w:rPr>
        <w:t>know</w:t>
      </w:r>
      <w:r w:rsidRPr="00E82C69">
        <w:rPr>
          <w:rFonts w:ascii="Times New Roman" w:hAnsi="Times New Roman" w:cs="Times New Roman"/>
        </w:rPr>
        <w:t xml:space="preserve"> affects the composition. The composition correlates nicely with elevation.</w:t>
      </w:r>
      <w:r w:rsidR="007A466D" w:rsidRPr="00E82C69">
        <w:rPr>
          <w:rFonts w:ascii="Times New Roman" w:hAnsi="Times New Roman" w:cs="Times New Roman"/>
        </w:rPr>
        <w:t xml:space="preserve"> Again, the differences in composition at this level are deterministic.</w:t>
      </w:r>
    </w:p>
    <w:p w14:paraId="28917C74" w14:textId="77777777" w:rsidR="00A27336" w:rsidRPr="00E82C69" w:rsidRDefault="00A27336" w:rsidP="00A27336"/>
    <w:p w14:paraId="65763886" w14:textId="40F8A6EB" w:rsidR="00A27336" w:rsidRPr="00E82C69" w:rsidRDefault="00A27336" w:rsidP="00A27336">
      <w:r w:rsidRPr="00E82C69">
        <w:rPr>
          <w:noProof/>
        </w:rPr>
        <w:drawing>
          <wp:inline distT="0" distB="0" distL="0" distR="0" wp14:anchorId="1E284AE8" wp14:editId="0B14C6CA">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0D861D0C" w14:textId="77777777" w:rsidR="00094F32" w:rsidRPr="00E82C69" w:rsidRDefault="00094F32" w:rsidP="00A27336"/>
    <w:p w14:paraId="5BF83A52" w14:textId="62FC003B" w:rsidR="00094F32" w:rsidRPr="00E82C69" w:rsidRDefault="00094F32" w:rsidP="00094F32">
      <w:pPr>
        <w:rPr>
          <w:i/>
        </w:rPr>
      </w:pPr>
      <w:r w:rsidRPr="00E82C69">
        <w:rPr>
          <w:i/>
        </w:rPr>
        <w:t>Comparing weather on the bottom and top of the SG1 hill. The bottom (the flat) is consistently hotter and dryer than the top of the hill. Importantly, the top of the hill experience humidity above deliquescence point (75% RH) much more often.</w:t>
      </w:r>
      <w:r w:rsidR="003E76F0" w:rsidRPr="00E82C69">
        <w:rPr>
          <w:i/>
        </w:rPr>
        <w:t xml:space="preserve"> These results are confirmed with the HOBO probes positioned 1m above the ground (over 2 days).</w:t>
      </w:r>
    </w:p>
    <w:p w14:paraId="036361CC" w14:textId="6D14FE0B" w:rsidR="00A27336" w:rsidRDefault="00A27336" w:rsidP="00A27336"/>
    <w:p w14:paraId="054E2139" w14:textId="5659E411" w:rsidR="002957FE" w:rsidRPr="00E82C69" w:rsidRDefault="002957FE" w:rsidP="00A27336">
      <w:r>
        <w:rPr>
          <w:noProof/>
        </w:rPr>
        <w:drawing>
          <wp:inline distT="0" distB="0" distL="0" distR="0" wp14:anchorId="518F4C4C" wp14:editId="116D4DD3">
            <wp:extent cx="5943600" cy="3967480"/>
            <wp:effectExtent l="0" t="0" r="0" b="2032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0BEFCE2" w14:textId="4D00E7B2" w:rsidR="002957FE" w:rsidRPr="002957FE" w:rsidRDefault="002957FE" w:rsidP="00A27336">
      <w:pPr>
        <w:rPr>
          <w:i/>
        </w:rPr>
      </w:pPr>
      <w:r w:rsidRPr="00E82C69">
        <w:rPr>
          <w:i/>
        </w:rPr>
        <w:t>Topography comparison between</w:t>
      </w:r>
      <w:r>
        <w:rPr>
          <w:i/>
        </w:rPr>
        <w:t xml:space="preserve"> the top and bottom of a hill at</w:t>
      </w:r>
      <w:r w:rsidRPr="00E82C69">
        <w:rPr>
          <w:i/>
        </w:rPr>
        <w:t xml:space="preserve">, measured with the relative coverage of the ground with halite nodules at different stages of development. </w:t>
      </w:r>
      <w:r>
        <w:rPr>
          <w:i/>
        </w:rPr>
        <w:t>The top of the hill had a significantly higher nodule coverage, and less flat polygons (</w:t>
      </w:r>
      <w:r w:rsidRPr="00E82C69">
        <w:rPr>
          <w:i/>
        </w:rPr>
        <w:t>two-tail t-test</w:t>
      </w:r>
      <w:r>
        <w:rPr>
          <w:i/>
        </w:rPr>
        <w:t xml:space="preserve">s: </w:t>
      </w:r>
      <w:proofErr w:type="spellStart"/>
      <w:r>
        <w:rPr>
          <w:i/>
        </w:rPr>
        <w:t>pval</w:t>
      </w:r>
      <w:proofErr w:type="spellEnd"/>
      <w:r>
        <w:rPr>
          <w:i/>
        </w:rPr>
        <w:t>&lt;0.01).</w:t>
      </w:r>
    </w:p>
    <w:p w14:paraId="3EAF66E7" w14:textId="77777777" w:rsidR="00764AB7" w:rsidRDefault="00764AB7"/>
    <w:p w14:paraId="6A0B6E9A" w14:textId="77777777" w:rsidR="00764AB7" w:rsidRDefault="00764AB7"/>
    <w:p w14:paraId="539EFD1C" w14:textId="77777777" w:rsidR="00764AB7" w:rsidRDefault="00764AB7"/>
    <w:p w14:paraId="1560FBFB" w14:textId="77777777" w:rsidR="00764AB7" w:rsidRDefault="00764AB7"/>
    <w:p w14:paraId="1BD06631" w14:textId="77777777" w:rsidR="00764AB7" w:rsidRDefault="00764AB7">
      <w:r>
        <w:br w:type="page"/>
      </w:r>
    </w:p>
    <w:p w14:paraId="24355FB5" w14:textId="0C063CD0" w:rsidR="00764AB7" w:rsidRDefault="007E570D">
      <w:r w:rsidRPr="007E570D">
        <w:rPr>
          <w:noProof/>
        </w:rPr>
        <w:drawing>
          <wp:inline distT="0" distB="0" distL="0" distR="0" wp14:anchorId="6657A976" wp14:editId="5F1756D8">
            <wp:extent cx="5011955" cy="62890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6706" cy="6295001"/>
                    </a:xfrm>
                    <a:prstGeom prst="rect">
                      <a:avLst/>
                    </a:prstGeom>
                  </pic:spPr>
                </pic:pic>
              </a:graphicData>
            </a:graphic>
          </wp:inline>
        </w:drawing>
      </w:r>
    </w:p>
    <w:p w14:paraId="1A230D80" w14:textId="430F02E7" w:rsidR="00764AB7" w:rsidRPr="00E82C69" w:rsidRDefault="00764AB7" w:rsidP="00764AB7">
      <w:pPr>
        <w:rPr>
          <w:rFonts w:eastAsia="Times New Roman"/>
        </w:rPr>
      </w:pPr>
      <w:r w:rsidRPr="00E82C69">
        <w:rPr>
          <w:i/>
        </w:rPr>
        <w:t xml:space="preserve">Relative taxonomy composition </w:t>
      </w:r>
      <w:r>
        <w:rPr>
          <w:i/>
        </w:rPr>
        <w:t xml:space="preserve">of halite communities at the top and bottom of the SG1 hill in 2016 </w:t>
      </w:r>
      <w:r w:rsidRPr="00E82C69">
        <w:rPr>
          <w:i/>
        </w:rPr>
        <w:t xml:space="preserve">at the phylum level. </w:t>
      </w:r>
      <w:proofErr w:type="spellStart"/>
      <w:r>
        <w:rPr>
          <w:i/>
        </w:rPr>
        <w:t>Nanohaloarchaea</w:t>
      </w:r>
      <w:proofErr w:type="spellEnd"/>
      <w:r w:rsidR="007E570D">
        <w:rPr>
          <w:i/>
        </w:rPr>
        <w:t xml:space="preserve">, Proteobacteria, and </w:t>
      </w:r>
      <w:proofErr w:type="spellStart"/>
      <w:r w:rsidR="007E570D">
        <w:rPr>
          <w:i/>
        </w:rPr>
        <w:t>Actinobacteria</w:t>
      </w:r>
      <w:proofErr w:type="spellEnd"/>
      <w:r>
        <w:rPr>
          <w:i/>
        </w:rPr>
        <w:t xml:space="preserve"> </w:t>
      </w:r>
      <w:r w:rsidRPr="00E82C69">
        <w:rPr>
          <w:rFonts w:eastAsia="Times New Roman"/>
          <w:i/>
        </w:rPr>
        <w:t xml:space="preserve">were found to be significantly </w:t>
      </w:r>
      <w:r>
        <w:rPr>
          <w:rFonts w:eastAsia="Times New Roman"/>
          <w:i/>
        </w:rPr>
        <w:t>more abundant at the top of the hill than the bottom (</w:t>
      </w:r>
      <w:r w:rsidRPr="00E82C69">
        <w:rPr>
          <w:rFonts w:eastAsia="Times New Roman"/>
          <w:i/>
        </w:rPr>
        <w:t>ANCOM W</w:t>
      </w:r>
      <w:r>
        <w:rPr>
          <w:rFonts w:eastAsia="Times New Roman"/>
          <w:i/>
        </w:rPr>
        <w:t>=</w:t>
      </w:r>
      <w:r w:rsidR="007E570D">
        <w:rPr>
          <w:rFonts w:eastAsia="Times New Roman"/>
          <w:i/>
        </w:rPr>
        <w:t>6,9,8, respectively), and Cyanobacteria was more abundant at the bottom of the hill (ANCOM W=7)</w:t>
      </w:r>
      <w:r w:rsidRPr="00E82C69">
        <w:rPr>
          <w:rFonts w:eastAsia="Times New Roman"/>
          <w:i/>
        </w:rPr>
        <w:t xml:space="preserve">. </w:t>
      </w:r>
    </w:p>
    <w:p w14:paraId="63581345" w14:textId="65ADE242" w:rsidR="002957FE" w:rsidRDefault="002957FE"/>
    <w:p w14:paraId="7A72273A" w14:textId="5D658A20" w:rsidR="00DC344A" w:rsidRDefault="007E570D">
      <w:r w:rsidRPr="007E570D">
        <w:rPr>
          <w:noProof/>
        </w:rPr>
        <w:drawing>
          <wp:inline distT="0" distB="0" distL="0" distR="0" wp14:anchorId="6A728FDF" wp14:editId="054281FB">
            <wp:extent cx="5943600" cy="52476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47640"/>
                    </a:xfrm>
                    <a:prstGeom prst="rect">
                      <a:avLst/>
                    </a:prstGeom>
                  </pic:spPr>
                </pic:pic>
              </a:graphicData>
            </a:graphic>
          </wp:inline>
        </w:drawing>
      </w:r>
    </w:p>
    <w:p w14:paraId="61839A9E" w14:textId="7DAD0AEA" w:rsidR="00DC344A" w:rsidRPr="008C0C18" w:rsidRDefault="00DC344A" w:rsidP="00DC344A">
      <w:pPr>
        <w:rPr>
          <w:rFonts w:eastAsia="Times New Roman"/>
        </w:rPr>
      </w:pPr>
      <w:proofErr w:type="spellStart"/>
      <w:r w:rsidRPr="00E82C69">
        <w:rPr>
          <w:i/>
        </w:rPr>
        <w:t>PCoA</w:t>
      </w:r>
      <w:proofErr w:type="spellEnd"/>
      <w:r w:rsidRPr="00E82C69">
        <w:rPr>
          <w:i/>
        </w:rPr>
        <w:t xml:space="preserve"> of weighted </w:t>
      </w:r>
      <w:proofErr w:type="spellStart"/>
      <w:r w:rsidRPr="00E82C69">
        <w:rPr>
          <w:i/>
        </w:rPr>
        <w:t>Unifrac</w:t>
      </w:r>
      <w:proofErr w:type="spellEnd"/>
      <w:r w:rsidRPr="00E82C69">
        <w:rPr>
          <w:i/>
        </w:rPr>
        <w:t xml:space="preserve"> dissimilarity matrix of 16S rDNA amplicon sequences from </w:t>
      </w:r>
      <w:r w:rsidR="007E570D">
        <w:rPr>
          <w:i/>
        </w:rPr>
        <w:t xml:space="preserve">the top (blue diamonds) and bottom (red squares) of a hill at the </w:t>
      </w:r>
      <w:r w:rsidRPr="00E82C69">
        <w:rPr>
          <w:i/>
        </w:rPr>
        <w:t xml:space="preserve">SG1 </w:t>
      </w:r>
      <w:r w:rsidR="007E570D">
        <w:rPr>
          <w:i/>
        </w:rPr>
        <w:t xml:space="preserve">location. </w:t>
      </w:r>
      <w:r w:rsidR="00764AB7">
        <w:rPr>
          <w:i/>
        </w:rPr>
        <w:t xml:space="preserve">Data collected in Feb 2016. </w:t>
      </w:r>
      <w:r w:rsidRPr="00E82C69">
        <w:rPr>
          <w:i/>
        </w:rPr>
        <w:t xml:space="preserve">Difference </w:t>
      </w:r>
      <w:r w:rsidR="008C0C18">
        <w:rPr>
          <w:i/>
        </w:rPr>
        <w:t xml:space="preserve">is significant (PERMANOVA: </w:t>
      </w:r>
      <w:proofErr w:type="spellStart"/>
      <w:r w:rsidR="008C0C18">
        <w:rPr>
          <w:i/>
        </w:rPr>
        <w:t>pval</w:t>
      </w:r>
      <w:proofErr w:type="spellEnd"/>
      <w:r w:rsidR="008C0C18">
        <w:rPr>
          <w:i/>
        </w:rPr>
        <w:t>=</w:t>
      </w:r>
      <w:r w:rsidR="008C0C18" w:rsidRPr="008C0C18">
        <w:rPr>
          <w:rFonts w:eastAsia="Times New Roman"/>
        </w:rPr>
        <w:t xml:space="preserve"> </w:t>
      </w:r>
      <w:r w:rsidR="00C41B72">
        <w:rPr>
          <w:rFonts w:eastAsia="Times New Roman"/>
        </w:rPr>
        <w:t>0.0</w:t>
      </w:r>
      <w:r w:rsidR="007E570D">
        <w:rPr>
          <w:rFonts w:eastAsia="Times New Roman"/>
        </w:rPr>
        <w:t>0</w:t>
      </w:r>
      <w:r w:rsidR="00C41B72">
        <w:rPr>
          <w:rFonts w:eastAsia="Times New Roman"/>
        </w:rPr>
        <w:t>1</w:t>
      </w:r>
      <w:r w:rsidRPr="00E82C69">
        <w:rPr>
          <w:i/>
        </w:rPr>
        <w:t>, test statistic=</w:t>
      </w:r>
      <w:r w:rsidR="007E570D">
        <w:rPr>
          <w:rFonts w:eastAsia="Times New Roman"/>
          <w:i/>
        </w:rPr>
        <w:t xml:space="preserve"> 22.5</w:t>
      </w:r>
      <w:r w:rsidRPr="00E82C69">
        <w:rPr>
          <w:i/>
        </w:rPr>
        <w:t>).</w:t>
      </w:r>
    </w:p>
    <w:p w14:paraId="10CF8D3F" w14:textId="77777777" w:rsidR="00DC344A" w:rsidRDefault="00DC344A"/>
    <w:p w14:paraId="056A684E" w14:textId="77777777" w:rsidR="00DC344A" w:rsidRDefault="00DC344A"/>
    <w:p w14:paraId="21D8CA45" w14:textId="77777777" w:rsidR="00DC344A" w:rsidRDefault="00DC344A">
      <w:r>
        <w:br w:type="page"/>
      </w:r>
    </w:p>
    <w:p w14:paraId="56CF6AF0" w14:textId="60907B58" w:rsidR="00994029" w:rsidRPr="00E82C69" w:rsidRDefault="007A466D" w:rsidP="00AD3E01">
      <w:pPr>
        <w:pStyle w:val="ListParagraph"/>
        <w:numPr>
          <w:ilvl w:val="0"/>
          <w:numId w:val="1"/>
        </w:numPr>
        <w:rPr>
          <w:rFonts w:ascii="Times New Roman" w:hAnsi="Times New Roman" w:cs="Times New Roman"/>
        </w:rPr>
      </w:pPr>
      <w:r w:rsidRPr="00E82C69">
        <w:rPr>
          <w:rFonts w:ascii="Times New Roman" w:hAnsi="Times New Roman" w:cs="Times New Roman"/>
        </w:rPr>
        <w:t xml:space="preserve">Within the individual halites, there are also drastic differences. Each halite is significantly different from the next in phyla </w:t>
      </w:r>
      <w:r w:rsidR="00F7392F" w:rsidRPr="00E82C69">
        <w:rPr>
          <w:rFonts w:ascii="Times New Roman" w:hAnsi="Times New Roman" w:cs="Times New Roman"/>
        </w:rPr>
        <w:t>abundance, OTU presence/absence</w:t>
      </w:r>
      <w:r w:rsidRPr="00E82C69">
        <w:rPr>
          <w:rFonts w:ascii="Times New Roman" w:hAnsi="Times New Roman" w:cs="Times New Roman"/>
        </w:rPr>
        <w:t xml:space="preserve">. These differences are governed by neutral processes associated with the random colonization of the nodules. </w:t>
      </w:r>
    </w:p>
    <w:p w14:paraId="5B3031D6" w14:textId="77777777" w:rsidR="00F7392F" w:rsidRPr="00E82C69" w:rsidRDefault="00F7392F" w:rsidP="00F7392F"/>
    <w:p w14:paraId="42F48301" w14:textId="4DFE6CE1" w:rsidR="00F7392F" w:rsidRPr="00E82C69" w:rsidRDefault="00F7392F" w:rsidP="00F7392F">
      <w:r w:rsidRPr="00E82C69">
        <w:rPr>
          <w:noProof/>
        </w:rPr>
        <w:drawing>
          <wp:inline distT="0" distB="0" distL="0" distR="0" wp14:anchorId="34A3CB68" wp14:editId="1E0D4AD4">
            <wp:extent cx="5943600" cy="5055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55235"/>
                    </a:xfrm>
                    <a:prstGeom prst="rect">
                      <a:avLst/>
                    </a:prstGeom>
                  </pic:spPr>
                </pic:pic>
              </a:graphicData>
            </a:graphic>
          </wp:inline>
        </w:drawing>
      </w:r>
    </w:p>
    <w:p w14:paraId="132D546D" w14:textId="5AA2CF65" w:rsidR="00F7392F" w:rsidRPr="00E82C69" w:rsidRDefault="00F7392F" w:rsidP="00F7392F">
      <w:pPr>
        <w:rPr>
          <w:rFonts w:eastAsia="Times New Roman"/>
        </w:rPr>
      </w:pPr>
      <w:r w:rsidRPr="00E82C69">
        <w:rPr>
          <w:i/>
        </w:rPr>
        <w:t>Relative taxonomy composition of individual halites at the phylum level. Note the relative similarity of intra-halite replicates</w:t>
      </w:r>
      <w:r w:rsidR="00257F62" w:rsidRPr="00E82C69">
        <w:rPr>
          <w:i/>
        </w:rPr>
        <w:t xml:space="preserve">, and the significant differences between halites (PERMANOVA on Bray Curtis dissimilarity </w:t>
      </w:r>
      <w:proofErr w:type="spellStart"/>
      <w:r w:rsidR="00257F62" w:rsidRPr="00E82C69">
        <w:rPr>
          <w:i/>
        </w:rPr>
        <w:t>matrox</w:t>
      </w:r>
      <w:proofErr w:type="spellEnd"/>
      <w:r w:rsidR="00257F62" w:rsidRPr="00E82C69">
        <w:rPr>
          <w:i/>
        </w:rPr>
        <w:t xml:space="preserve">: </w:t>
      </w:r>
      <w:proofErr w:type="spellStart"/>
      <w:r w:rsidR="00257F62" w:rsidRPr="00E82C69">
        <w:rPr>
          <w:i/>
        </w:rPr>
        <w:t>pval</w:t>
      </w:r>
      <w:proofErr w:type="spellEnd"/>
      <w:r w:rsidR="00257F62" w:rsidRPr="00E82C69">
        <w:rPr>
          <w:i/>
        </w:rPr>
        <w:t>&lt;0.001, test-statistic=</w:t>
      </w:r>
      <w:r w:rsidR="00257F62" w:rsidRPr="00E82C69">
        <w:rPr>
          <w:rFonts w:eastAsia="Times New Roman"/>
        </w:rPr>
        <w:t xml:space="preserve"> 2.89</w:t>
      </w:r>
      <w:r w:rsidR="00257F62" w:rsidRPr="00E82C69">
        <w:rPr>
          <w:i/>
        </w:rPr>
        <w:t>)</w:t>
      </w:r>
      <w:r w:rsidRPr="00E82C69">
        <w:rPr>
          <w:i/>
        </w:rPr>
        <w:t xml:space="preserve">. </w:t>
      </w:r>
      <w:proofErr w:type="spellStart"/>
      <w:r w:rsidRPr="00E82C69">
        <w:rPr>
          <w:rFonts w:eastAsia="Times New Roman"/>
          <w:i/>
        </w:rPr>
        <w:t>Woesearchaeota</w:t>
      </w:r>
      <w:proofErr w:type="spellEnd"/>
      <w:r w:rsidRPr="00E82C69">
        <w:rPr>
          <w:rFonts w:eastAsia="Times New Roman"/>
          <w:i/>
        </w:rPr>
        <w:t xml:space="preserve">, </w:t>
      </w:r>
      <w:proofErr w:type="spellStart"/>
      <w:r w:rsidRPr="00E82C69">
        <w:rPr>
          <w:rFonts w:eastAsia="Times New Roman"/>
          <w:i/>
        </w:rPr>
        <w:t>Actinobacteria</w:t>
      </w:r>
      <w:proofErr w:type="spellEnd"/>
      <w:r w:rsidRPr="00E82C69">
        <w:rPr>
          <w:rFonts w:eastAsia="Times New Roman"/>
          <w:i/>
        </w:rPr>
        <w:t xml:space="preserve">, Cyanobacteria, Firmicutes, and Proteobacteria were found to be significantly differentially present between nodules (ANCOM W=12, 14, 10, 11, and 11, respectively). </w:t>
      </w:r>
    </w:p>
    <w:p w14:paraId="6A5ECF8A" w14:textId="4E808024" w:rsidR="00F7392F" w:rsidRPr="00E82C69" w:rsidRDefault="00F7392F" w:rsidP="00F7392F">
      <w:pPr>
        <w:rPr>
          <w:i/>
        </w:rPr>
      </w:pPr>
    </w:p>
    <w:p w14:paraId="7EFC62BB" w14:textId="77777777" w:rsidR="00F7392F" w:rsidRPr="00E82C69" w:rsidRDefault="00F7392F" w:rsidP="00F7392F"/>
    <w:p w14:paraId="358ADD5E" w14:textId="77777777" w:rsidR="00994029" w:rsidRPr="00E82C69" w:rsidRDefault="00994029">
      <w:r w:rsidRPr="00E82C69">
        <w:br w:type="page"/>
      </w:r>
    </w:p>
    <w:p w14:paraId="304CD1D6" w14:textId="231D491F" w:rsidR="007A466D" w:rsidRPr="00E82C69" w:rsidRDefault="007A466D" w:rsidP="00AD3E01">
      <w:pPr>
        <w:pStyle w:val="ListParagraph"/>
        <w:numPr>
          <w:ilvl w:val="0"/>
          <w:numId w:val="1"/>
        </w:numPr>
        <w:rPr>
          <w:rFonts w:ascii="Times New Roman" w:hAnsi="Times New Roman" w:cs="Times New Roman"/>
        </w:rPr>
      </w:pPr>
      <w:r w:rsidRPr="00E82C69">
        <w:rPr>
          <w:rFonts w:ascii="Times New Roman" w:hAnsi="Times New Roman" w:cs="Times New Roman"/>
        </w:rPr>
        <w:t xml:space="preserve">The top-middle-bottom section positioning within any given halite also influences the microbiome composition, but in a more deterministic way. The diversity and OUT presence/absence between the different sections of a single nodule are minor, but certain phyla prefer specific locations. These differences are influenced deterministically by light access (for cyanobacteria), and the humidity gradient across the halite interior. </w:t>
      </w:r>
    </w:p>
    <w:p w14:paraId="0E1AD36A" w14:textId="77777777" w:rsidR="007A466D" w:rsidRPr="00E82C69" w:rsidRDefault="007A466D" w:rsidP="007A466D"/>
    <w:p w14:paraId="01DD4FCF" w14:textId="1A479750" w:rsidR="003E76F0" w:rsidRPr="00E82C69" w:rsidRDefault="003E76F0" w:rsidP="007A466D">
      <w:r w:rsidRPr="00E82C69">
        <w:rPr>
          <w:noProof/>
        </w:rPr>
        <w:drawing>
          <wp:inline distT="0" distB="0" distL="0" distR="0" wp14:anchorId="4784950E" wp14:editId="47B99839">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3809A197" w14:textId="32D62BE7" w:rsidR="003E76F0" w:rsidRPr="00E82C69" w:rsidRDefault="003E76F0" w:rsidP="007A466D">
      <w:pPr>
        <w:rPr>
          <w:i/>
        </w:rPr>
      </w:pPr>
      <w:r w:rsidRPr="00E82C69">
        <w:rPr>
          <w:i/>
        </w:rPr>
        <w:t xml:space="preserve">Internal condition comparison between the top (5cm below surface from top) and bottom (5cm below surface from bottom) of a halite nodule. The humidity and </w:t>
      </w:r>
      <w:r w:rsidR="0046477D" w:rsidRPr="00E82C69">
        <w:rPr>
          <w:i/>
        </w:rPr>
        <w:t>temperature</w:t>
      </w:r>
      <w:r w:rsidRPr="00E82C69">
        <w:rPr>
          <w:i/>
        </w:rPr>
        <w:t xml:space="preserve"> differences are minor, but the top is a bit warmer and dryer in the day.</w:t>
      </w:r>
    </w:p>
    <w:p w14:paraId="7511DF27" w14:textId="77777777" w:rsidR="003E76F0" w:rsidRPr="00E82C69" w:rsidRDefault="003E76F0" w:rsidP="007A466D"/>
    <w:p w14:paraId="62A6961C" w14:textId="77777777" w:rsidR="00994029" w:rsidRPr="00E82C69" w:rsidRDefault="00994029">
      <w:pPr>
        <w:rPr>
          <w:i/>
        </w:rPr>
      </w:pPr>
      <w:r w:rsidRPr="00E82C69">
        <w:rPr>
          <w:i/>
        </w:rPr>
        <w:br w:type="page"/>
      </w:r>
    </w:p>
    <w:p w14:paraId="56D60861" w14:textId="2B5B24FC" w:rsidR="003E76F0" w:rsidRPr="00E82C69" w:rsidRDefault="003E76F0" w:rsidP="003E76F0">
      <w:pPr>
        <w:rPr>
          <w:i/>
        </w:rPr>
      </w:pPr>
      <w:r w:rsidRPr="00E82C69">
        <w:rPr>
          <w:noProof/>
        </w:rPr>
        <w:drawing>
          <wp:inline distT="0" distB="0" distL="0" distR="0" wp14:anchorId="74FF2ACC" wp14:editId="7FE73463">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943600"/>
                    </a:xfrm>
                    <a:prstGeom prst="rect">
                      <a:avLst/>
                    </a:prstGeom>
                  </pic:spPr>
                </pic:pic>
              </a:graphicData>
            </a:graphic>
          </wp:inline>
        </w:drawing>
      </w:r>
      <w:r w:rsidRPr="00E82C69">
        <w:rPr>
          <w:i/>
        </w:rPr>
        <w:t xml:space="preserve"> Internal condition comparison between the top (5cm below surface from top) and </w:t>
      </w:r>
      <w:r w:rsidR="0046477D" w:rsidRPr="00E82C69">
        <w:rPr>
          <w:i/>
        </w:rPr>
        <w:t>middle</w:t>
      </w:r>
      <w:r w:rsidRPr="00E82C69">
        <w:rPr>
          <w:i/>
        </w:rPr>
        <w:t xml:space="preserve"> (</w:t>
      </w:r>
      <w:r w:rsidR="0046477D" w:rsidRPr="00E82C69">
        <w:rPr>
          <w:i/>
        </w:rPr>
        <w:t>1</w:t>
      </w:r>
      <w:r w:rsidRPr="00E82C69">
        <w:rPr>
          <w:i/>
        </w:rPr>
        <w:t xml:space="preserve">5cm below surface) of a halite nodule. The </w:t>
      </w:r>
      <w:r w:rsidR="0046477D" w:rsidRPr="00E82C69">
        <w:rPr>
          <w:i/>
        </w:rPr>
        <w:t>temperature</w:t>
      </w:r>
      <w:r w:rsidRPr="00E82C69">
        <w:rPr>
          <w:i/>
        </w:rPr>
        <w:t xml:space="preserve"> differences are minor, </w:t>
      </w:r>
      <w:r w:rsidR="0046477D" w:rsidRPr="00E82C69">
        <w:rPr>
          <w:i/>
        </w:rPr>
        <w:t xml:space="preserve">the humidity remains significantly higher in the middle of the halite, especially during the day. During the night the halite regains the moisture it lost during the day, however the humidity swings in center of the nodule are much smaller than at the surface. </w:t>
      </w:r>
    </w:p>
    <w:p w14:paraId="49AAD48D" w14:textId="07983392" w:rsidR="003E76F0" w:rsidRPr="00E82C69" w:rsidRDefault="003E76F0" w:rsidP="007A466D"/>
    <w:p w14:paraId="3611ACE2" w14:textId="6488F452" w:rsidR="003E76F0" w:rsidRPr="00E82C69" w:rsidRDefault="003E76F0" w:rsidP="007A466D">
      <w:r w:rsidRPr="00E82C69">
        <w:t xml:space="preserve"> </w:t>
      </w:r>
    </w:p>
    <w:p w14:paraId="2BD9A3B6" w14:textId="34962742" w:rsidR="00994029" w:rsidRPr="00E82C69" w:rsidRDefault="00994029">
      <w:r w:rsidRPr="00E82C69">
        <w:br w:type="page"/>
      </w:r>
    </w:p>
    <w:p w14:paraId="4DAA8142" w14:textId="5E03150C" w:rsidR="00BF3154" w:rsidRDefault="009723FA" w:rsidP="007A466D">
      <w:pPr>
        <w:rPr>
          <w:noProof/>
        </w:rPr>
      </w:pPr>
      <w:r w:rsidRPr="009723FA">
        <w:rPr>
          <w:noProof/>
        </w:rPr>
        <w:drawing>
          <wp:inline distT="0" distB="0" distL="0" distR="0" wp14:anchorId="347124A0" wp14:editId="7396CCFD">
            <wp:extent cx="2794635" cy="1861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8065" cy="1870843"/>
                    </a:xfrm>
                    <a:prstGeom prst="rect">
                      <a:avLst/>
                    </a:prstGeom>
                  </pic:spPr>
                </pic:pic>
              </a:graphicData>
            </a:graphic>
          </wp:inline>
        </w:drawing>
      </w:r>
      <w:r w:rsidR="00BF3154" w:rsidRPr="00BF3154">
        <w:rPr>
          <w:noProof/>
        </w:rPr>
        <w:drawing>
          <wp:inline distT="0" distB="0" distL="0" distR="0" wp14:anchorId="374B54B0" wp14:editId="270B3390">
            <wp:extent cx="2465134" cy="1854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817" cy="1872949"/>
                    </a:xfrm>
                    <a:prstGeom prst="rect">
                      <a:avLst/>
                    </a:prstGeom>
                  </pic:spPr>
                </pic:pic>
              </a:graphicData>
            </a:graphic>
          </wp:inline>
        </w:drawing>
      </w:r>
      <w:r w:rsidRPr="009723FA">
        <w:rPr>
          <w:noProof/>
        </w:rPr>
        <w:drawing>
          <wp:inline distT="0" distB="0" distL="0" distR="0" wp14:anchorId="5CE1DFDF" wp14:editId="55FCD092">
            <wp:extent cx="2680335" cy="1792045"/>
            <wp:effectExtent l="0" t="0" r="1206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8347" cy="1824145"/>
                    </a:xfrm>
                    <a:prstGeom prst="rect">
                      <a:avLst/>
                    </a:prstGeom>
                  </pic:spPr>
                </pic:pic>
              </a:graphicData>
            </a:graphic>
          </wp:inline>
        </w:drawing>
      </w:r>
      <w:r w:rsidRPr="009723FA">
        <w:rPr>
          <w:noProof/>
        </w:rPr>
        <w:drawing>
          <wp:inline distT="0" distB="0" distL="0" distR="0" wp14:anchorId="55EC8DB8" wp14:editId="069B85A5">
            <wp:extent cx="3072221" cy="181116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4312" cy="1824189"/>
                    </a:xfrm>
                    <a:prstGeom prst="rect">
                      <a:avLst/>
                    </a:prstGeom>
                  </pic:spPr>
                </pic:pic>
              </a:graphicData>
            </a:graphic>
          </wp:inline>
        </w:drawing>
      </w:r>
    </w:p>
    <w:p w14:paraId="7F6CF10E" w14:textId="72446505" w:rsidR="00994029" w:rsidRPr="00E82C69" w:rsidRDefault="00994029" w:rsidP="007A466D"/>
    <w:p w14:paraId="6ACD9F83" w14:textId="19AA061A" w:rsidR="00994029" w:rsidRPr="00ED0361" w:rsidRDefault="009723FA" w:rsidP="007A466D">
      <w:pPr>
        <w:rPr>
          <w:rFonts w:eastAsia="Times New Roman"/>
        </w:rPr>
      </w:pPr>
      <w:r>
        <w:rPr>
          <w:i/>
        </w:rPr>
        <w:t>A</w:t>
      </w:r>
      <w:r w:rsidR="007B55DF" w:rsidRPr="00E82C69">
        <w:rPr>
          <w:i/>
        </w:rPr>
        <w:t xml:space="preserve">: </w:t>
      </w:r>
      <w:proofErr w:type="spellStart"/>
      <w:r w:rsidR="00994029" w:rsidRPr="00E82C69">
        <w:rPr>
          <w:i/>
        </w:rPr>
        <w:t>PCoA</w:t>
      </w:r>
      <w:proofErr w:type="spellEnd"/>
      <w:r w:rsidR="00994029" w:rsidRPr="00E82C69">
        <w:rPr>
          <w:i/>
        </w:rPr>
        <w:t xml:space="preserve"> of </w:t>
      </w:r>
      <w:r w:rsidR="00ED0361">
        <w:rPr>
          <w:i/>
        </w:rPr>
        <w:t xml:space="preserve">Weighted </w:t>
      </w:r>
      <w:proofErr w:type="spellStart"/>
      <w:r w:rsidR="00ED0361">
        <w:rPr>
          <w:i/>
        </w:rPr>
        <w:t>Unifrac</w:t>
      </w:r>
      <w:proofErr w:type="spellEnd"/>
      <w:r w:rsidR="00ED0361">
        <w:rPr>
          <w:i/>
        </w:rPr>
        <w:t xml:space="preserve"> dissimilarity </w:t>
      </w:r>
      <w:r w:rsidR="00994029" w:rsidRPr="00E82C69">
        <w:rPr>
          <w:i/>
        </w:rPr>
        <w:t xml:space="preserve">matrix of samples collected </w:t>
      </w:r>
      <w:r w:rsidR="007B55DF" w:rsidRPr="00E82C69">
        <w:rPr>
          <w:i/>
        </w:rPr>
        <w:t>at different position in the rock, showing composition differences between the top (</w:t>
      </w:r>
      <w:r>
        <w:rPr>
          <w:i/>
        </w:rPr>
        <w:t>yellow</w:t>
      </w:r>
      <w:r w:rsidR="007B55DF" w:rsidRPr="00E82C69">
        <w:rPr>
          <w:i/>
        </w:rPr>
        <w:t>), middle (blue), and bottom (</w:t>
      </w:r>
      <w:r>
        <w:rPr>
          <w:i/>
        </w:rPr>
        <w:t>magenta</w:t>
      </w:r>
      <w:r w:rsidR="007B55DF" w:rsidRPr="00E82C69">
        <w:rPr>
          <w:i/>
        </w:rPr>
        <w:t xml:space="preserve">) of the nodules, revealing a significant signal </w:t>
      </w:r>
      <w:r w:rsidR="00ED0361">
        <w:rPr>
          <w:i/>
        </w:rPr>
        <w:t xml:space="preserve">(PERMANOVA: </w:t>
      </w:r>
      <w:proofErr w:type="spellStart"/>
      <w:r w:rsidR="00ED0361">
        <w:rPr>
          <w:i/>
        </w:rPr>
        <w:t>pval</w:t>
      </w:r>
      <w:proofErr w:type="spellEnd"/>
      <w:r w:rsidR="00ED0361">
        <w:rPr>
          <w:i/>
        </w:rPr>
        <w:t>&lt;0.0</w:t>
      </w:r>
      <w:r w:rsidR="007B55DF" w:rsidRPr="00E82C69">
        <w:rPr>
          <w:i/>
        </w:rPr>
        <w:t>1</w:t>
      </w:r>
      <w:r w:rsidR="00ED0361">
        <w:rPr>
          <w:i/>
        </w:rPr>
        <w:t>3</w:t>
      </w:r>
      <w:r w:rsidR="007B55DF" w:rsidRPr="00E82C69">
        <w:rPr>
          <w:i/>
        </w:rPr>
        <w:t>, test statistic=2.</w:t>
      </w:r>
      <w:r w:rsidR="00BF3154">
        <w:rPr>
          <w:i/>
        </w:rPr>
        <w:t xml:space="preserve">59). B: Same </w:t>
      </w:r>
      <w:proofErr w:type="spellStart"/>
      <w:r w:rsidR="00BF3154">
        <w:rPr>
          <w:i/>
        </w:rPr>
        <w:t>PCoA</w:t>
      </w:r>
      <w:proofErr w:type="spellEnd"/>
      <w:r w:rsidR="00BF3154">
        <w:rPr>
          <w:i/>
        </w:rPr>
        <w:t xml:space="preserve"> colored by the distance of sample to the surface (dark is far from surface). C</w:t>
      </w:r>
      <w:r w:rsidR="00ED0361">
        <w:rPr>
          <w:i/>
        </w:rPr>
        <w:t>: T</w:t>
      </w:r>
      <w:r w:rsidR="007B55DF" w:rsidRPr="00E82C69">
        <w:rPr>
          <w:i/>
        </w:rPr>
        <w:t xml:space="preserve">he same </w:t>
      </w:r>
      <w:proofErr w:type="spellStart"/>
      <w:r w:rsidR="007B55DF" w:rsidRPr="00E82C69">
        <w:rPr>
          <w:i/>
        </w:rPr>
        <w:t>PCoA</w:t>
      </w:r>
      <w:proofErr w:type="spellEnd"/>
      <w:r w:rsidR="007B55DF" w:rsidRPr="00E82C69">
        <w:rPr>
          <w:i/>
        </w:rPr>
        <w:t>, but colored based on the halite nodule the sample came from, showing a significant signal (PERMANOVA:</w:t>
      </w:r>
      <w:r w:rsidR="00ED0361">
        <w:rPr>
          <w:i/>
        </w:rPr>
        <w:t xml:space="preserve"> </w:t>
      </w:r>
      <w:proofErr w:type="spellStart"/>
      <w:r w:rsidR="00ED0361">
        <w:rPr>
          <w:i/>
        </w:rPr>
        <w:t>pval</w:t>
      </w:r>
      <w:proofErr w:type="spellEnd"/>
      <w:r w:rsidR="00ED0361">
        <w:rPr>
          <w:i/>
        </w:rPr>
        <w:t>=0.012</w:t>
      </w:r>
      <w:r w:rsidR="00257F62" w:rsidRPr="00E82C69">
        <w:rPr>
          <w:i/>
        </w:rPr>
        <w:t>, test statistic=</w:t>
      </w:r>
      <w:r w:rsidR="00ED0361" w:rsidRPr="00ED0361">
        <w:rPr>
          <w:rFonts w:eastAsia="Times New Roman"/>
        </w:rPr>
        <w:t xml:space="preserve"> </w:t>
      </w:r>
      <w:r w:rsidR="00ED0361">
        <w:rPr>
          <w:rFonts w:eastAsia="Times New Roman"/>
        </w:rPr>
        <w:t>2.15</w:t>
      </w:r>
      <w:r w:rsidR="007B55DF" w:rsidRPr="00E82C69">
        <w:rPr>
          <w:i/>
        </w:rPr>
        <w:t xml:space="preserve">). </w:t>
      </w:r>
      <w:r w:rsidR="00BF3154">
        <w:rPr>
          <w:i/>
        </w:rPr>
        <w:t xml:space="preserve">D: </w:t>
      </w:r>
      <w:r w:rsidR="00ED0361">
        <w:rPr>
          <w:i/>
        </w:rPr>
        <w:t xml:space="preserve">The same </w:t>
      </w:r>
      <w:proofErr w:type="spellStart"/>
      <w:r w:rsidR="00ED0361">
        <w:rPr>
          <w:i/>
        </w:rPr>
        <w:t>PCoA</w:t>
      </w:r>
      <w:proofErr w:type="spellEnd"/>
      <w:r w:rsidR="00ED0361">
        <w:rPr>
          <w:i/>
        </w:rPr>
        <w:t xml:space="preserve"> but with the second and third principal components, showing significant separation based on the slice that the sample came from (PERMANOVA: </w:t>
      </w:r>
      <w:proofErr w:type="spellStart"/>
      <w:r w:rsidR="00ED0361">
        <w:rPr>
          <w:i/>
        </w:rPr>
        <w:t>pval</w:t>
      </w:r>
      <w:proofErr w:type="spellEnd"/>
      <w:r w:rsidR="00ED0361">
        <w:rPr>
          <w:i/>
        </w:rPr>
        <w:t>&lt;0.001, test statistic=</w:t>
      </w:r>
      <w:r w:rsidR="00ED0361" w:rsidRPr="00ED0361">
        <w:rPr>
          <w:rFonts w:eastAsia="Times New Roman"/>
        </w:rPr>
        <w:t xml:space="preserve"> </w:t>
      </w:r>
      <w:r w:rsidR="00ED0361">
        <w:rPr>
          <w:rFonts w:eastAsia="Times New Roman"/>
        </w:rPr>
        <w:t>2.77</w:t>
      </w:r>
      <w:r w:rsidR="00ED0361">
        <w:rPr>
          <w:i/>
        </w:rPr>
        <w:t>)</w:t>
      </w:r>
    </w:p>
    <w:p w14:paraId="576A5A67" w14:textId="77777777" w:rsidR="00994029" w:rsidRPr="00E82C69" w:rsidRDefault="00994029" w:rsidP="007A466D"/>
    <w:p w14:paraId="261B00BB" w14:textId="77777777" w:rsidR="00994029" w:rsidRPr="00E82C69" w:rsidRDefault="00994029" w:rsidP="007A466D"/>
    <w:p w14:paraId="74F7BB34" w14:textId="77777777" w:rsidR="00994029" w:rsidRPr="00E82C69" w:rsidRDefault="00994029" w:rsidP="007A466D"/>
    <w:p w14:paraId="5ED5BFB6" w14:textId="2D1781A2" w:rsidR="00994029" w:rsidRPr="00E82C69" w:rsidRDefault="000341CB" w:rsidP="007A466D">
      <w:r>
        <w:rPr>
          <w:noProof/>
        </w:rPr>
        <w:drawing>
          <wp:inline distT="0" distB="0" distL="0" distR="0" wp14:anchorId="79D4DF31" wp14:editId="4825290A">
            <wp:extent cx="5943600" cy="5074920"/>
            <wp:effectExtent l="0" t="0" r="0" b="508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92892D7" w14:textId="22D94C54" w:rsidR="00994029" w:rsidRPr="006B5EEF" w:rsidRDefault="000341CB" w:rsidP="007A466D">
      <w:pPr>
        <w:rPr>
          <w:rFonts w:eastAsia="Times New Roman"/>
        </w:rPr>
      </w:pPr>
      <w:r w:rsidRPr="000341CB">
        <w:rPr>
          <w:i/>
        </w:rPr>
        <w:t xml:space="preserve">Standardized relative abundances of major phyla in top middle and bottom of halite nodules across all samples. To account for high inter-slice and inter-nodule variation, the abundance of each </w:t>
      </w:r>
      <w:proofErr w:type="gramStart"/>
      <w:r w:rsidRPr="000341CB">
        <w:rPr>
          <w:i/>
        </w:rPr>
        <w:t>taxa</w:t>
      </w:r>
      <w:proofErr w:type="gramEnd"/>
      <w:r w:rsidRPr="000341CB">
        <w:rPr>
          <w:i/>
        </w:rPr>
        <w:t xml:space="preserve"> in each sample was standardized to the average abundance of that taxa in that slice, and multiplied by the average abundance</w:t>
      </w:r>
      <w:r>
        <w:rPr>
          <w:i/>
        </w:rPr>
        <w:t xml:space="preserve"> of that taxa in all samples. </w:t>
      </w:r>
      <w:proofErr w:type="spellStart"/>
      <w:r>
        <w:rPr>
          <w:i/>
        </w:rPr>
        <w:t>A</w:t>
      </w:r>
      <w:r>
        <w:rPr>
          <w:i/>
          <w:vertAlign w:val="subscript"/>
        </w:rPr>
        <w:t>std</w:t>
      </w:r>
      <w:proofErr w:type="spellEnd"/>
      <w:r>
        <w:rPr>
          <w:i/>
        </w:rPr>
        <w:t>=</w:t>
      </w:r>
      <w:proofErr w:type="spellStart"/>
      <w:r w:rsidRPr="000341CB">
        <w:rPr>
          <w:rStyle w:val="ilfuvd"/>
          <w:rFonts w:eastAsia="Times New Roman"/>
          <w:i/>
        </w:rPr>
        <w:t>μ</w:t>
      </w:r>
      <w:r w:rsidRPr="000341CB">
        <w:rPr>
          <w:i/>
          <w:vertAlign w:val="subscript"/>
        </w:rPr>
        <w:t>total</w:t>
      </w:r>
      <w:proofErr w:type="spellEnd"/>
      <w:r w:rsidRPr="000341CB">
        <w:rPr>
          <w:i/>
        </w:rPr>
        <w:t>*A/</w:t>
      </w:r>
      <w:proofErr w:type="spellStart"/>
      <w:r w:rsidRPr="000341CB">
        <w:rPr>
          <w:rStyle w:val="ilfuvd"/>
          <w:rFonts w:eastAsia="Times New Roman"/>
          <w:i/>
        </w:rPr>
        <w:t>μ</w:t>
      </w:r>
      <w:r w:rsidRPr="000341CB">
        <w:rPr>
          <w:i/>
          <w:vertAlign w:val="subscript"/>
        </w:rPr>
        <w:t>slice</w:t>
      </w:r>
      <w:proofErr w:type="spellEnd"/>
      <w:r w:rsidR="006B5EEF">
        <w:rPr>
          <w:i/>
        </w:rPr>
        <w:t xml:space="preserve">. All taxa are significantly differentially present between the three sites (one-way ANOVA, </w:t>
      </w:r>
      <w:proofErr w:type="spellStart"/>
      <w:r w:rsidR="006B5EEF">
        <w:rPr>
          <w:i/>
        </w:rPr>
        <w:t>pval</w:t>
      </w:r>
      <w:proofErr w:type="spellEnd"/>
      <w:r w:rsidR="006B5EEF">
        <w:rPr>
          <w:i/>
        </w:rPr>
        <w:t>&lt;0.01). Bars indicate standard error.</w:t>
      </w:r>
    </w:p>
    <w:p w14:paraId="79CCA3AF" w14:textId="77777777" w:rsidR="000341CB" w:rsidRDefault="000341CB">
      <w:r>
        <w:br w:type="page"/>
      </w:r>
    </w:p>
    <w:p w14:paraId="362D46BA" w14:textId="6C5E5415" w:rsidR="00105D33" w:rsidRPr="00E82C69" w:rsidRDefault="007A466D" w:rsidP="007A466D">
      <w:r w:rsidRPr="00E82C69">
        <w:t xml:space="preserve">In conclusion, the water availability seems to be the governing factor in halite microbiome composition, at large scales (different sampling sites) and intra-halite scales (position within the nodule). However, the </w:t>
      </w:r>
      <w:r w:rsidR="00105D33" w:rsidRPr="00E82C69">
        <w:t xml:space="preserve">fine-scale </w:t>
      </w:r>
      <w:r w:rsidRPr="00E82C69">
        <w:t xml:space="preserve">composition between adjacent nodules appears to be more </w:t>
      </w:r>
      <w:r w:rsidR="00105D33" w:rsidRPr="00E82C69">
        <w:t>random, and is likely driven by neutral processes from the initial colonization of each nodule.</w:t>
      </w:r>
      <w:r w:rsidRPr="00E82C69">
        <w:t xml:space="preserve"> Additionally, nodule topology can also have an effect on the composition, as it may be important for light penetration and humidity retention.</w:t>
      </w:r>
    </w:p>
    <w:p w14:paraId="01FF1069" w14:textId="77777777" w:rsidR="00105D33" w:rsidRPr="00E82C69" w:rsidRDefault="00105D33" w:rsidP="007A466D"/>
    <w:p w14:paraId="31254085" w14:textId="77777777" w:rsidR="007A466D" w:rsidRPr="00E82C69" w:rsidRDefault="007A466D" w:rsidP="007A466D">
      <w:r w:rsidRPr="00E82C69">
        <w:t xml:space="preserve"> </w:t>
      </w:r>
    </w:p>
    <w:sectPr w:rsidR="007A466D" w:rsidRPr="00E82C69"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CF103C"/>
    <w:multiLevelType w:val="hybridMultilevel"/>
    <w:tmpl w:val="402EA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E01"/>
    <w:rsid w:val="000341CB"/>
    <w:rsid w:val="00074741"/>
    <w:rsid w:val="00094F32"/>
    <w:rsid w:val="00105D33"/>
    <w:rsid w:val="001968B4"/>
    <w:rsid w:val="001C072D"/>
    <w:rsid w:val="0025594D"/>
    <w:rsid w:val="00257F62"/>
    <w:rsid w:val="002957FE"/>
    <w:rsid w:val="002B47DA"/>
    <w:rsid w:val="002B5C58"/>
    <w:rsid w:val="002D2EC5"/>
    <w:rsid w:val="002D7C07"/>
    <w:rsid w:val="00344047"/>
    <w:rsid w:val="003753B7"/>
    <w:rsid w:val="0037712C"/>
    <w:rsid w:val="00377809"/>
    <w:rsid w:val="00381D08"/>
    <w:rsid w:val="003E76F0"/>
    <w:rsid w:val="00403CDF"/>
    <w:rsid w:val="004101A0"/>
    <w:rsid w:val="00441B3F"/>
    <w:rsid w:val="0046477D"/>
    <w:rsid w:val="004A338B"/>
    <w:rsid w:val="004D3E95"/>
    <w:rsid w:val="004E2FBC"/>
    <w:rsid w:val="005B3B7C"/>
    <w:rsid w:val="005F63BB"/>
    <w:rsid w:val="00625435"/>
    <w:rsid w:val="00635F84"/>
    <w:rsid w:val="006B5EEF"/>
    <w:rsid w:val="006B6910"/>
    <w:rsid w:val="006E3BE4"/>
    <w:rsid w:val="00731646"/>
    <w:rsid w:val="00764AB7"/>
    <w:rsid w:val="007A466D"/>
    <w:rsid w:val="007B0BBB"/>
    <w:rsid w:val="007B55DF"/>
    <w:rsid w:val="007E570D"/>
    <w:rsid w:val="00816280"/>
    <w:rsid w:val="00822FD6"/>
    <w:rsid w:val="008479C1"/>
    <w:rsid w:val="0088695B"/>
    <w:rsid w:val="008B3DBE"/>
    <w:rsid w:val="008C0C18"/>
    <w:rsid w:val="008D55E2"/>
    <w:rsid w:val="00904074"/>
    <w:rsid w:val="00910F50"/>
    <w:rsid w:val="009723FA"/>
    <w:rsid w:val="00983664"/>
    <w:rsid w:val="00994029"/>
    <w:rsid w:val="00A27336"/>
    <w:rsid w:val="00AB35E9"/>
    <w:rsid w:val="00AD3E01"/>
    <w:rsid w:val="00B00FBA"/>
    <w:rsid w:val="00BF3154"/>
    <w:rsid w:val="00C02774"/>
    <w:rsid w:val="00C17650"/>
    <w:rsid w:val="00C41B72"/>
    <w:rsid w:val="00C53107"/>
    <w:rsid w:val="00C827F2"/>
    <w:rsid w:val="00C97A49"/>
    <w:rsid w:val="00CA6784"/>
    <w:rsid w:val="00CC62A5"/>
    <w:rsid w:val="00D10F3D"/>
    <w:rsid w:val="00D129CB"/>
    <w:rsid w:val="00D16DB7"/>
    <w:rsid w:val="00D23C7C"/>
    <w:rsid w:val="00D575E3"/>
    <w:rsid w:val="00DC344A"/>
    <w:rsid w:val="00DC586D"/>
    <w:rsid w:val="00E1600E"/>
    <w:rsid w:val="00E74147"/>
    <w:rsid w:val="00E82C69"/>
    <w:rsid w:val="00E94E0F"/>
    <w:rsid w:val="00EC063B"/>
    <w:rsid w:val="00ED0361"/>
    <w:rsid w:val="00F24C74"/>
    <w:rsid w:val="00F53643"/>
    <w:rsid w:val="00F674E0"/>
    <w:rsid w:val="00F7392F"/>
    <w:rsid w:val="00FC05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892E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0C1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E01"/>
    <w:pPr>
      <w:ind w:left="720"/>
      <w:contextualSpacing/>
    </w:pPr>
    <w:rPr>
      <w:rFonts w:asciiTheme="minorHAnsi" w:hAnsiTheme="minorHAnsi" w:cstheme="minorBidi"/>
    </w:rPr>
  </w:style>
  <w:style w:type="character" w:customStyle="1" w:styleId="ilfuvd">
    <w:name w:val="ilfuvd"/>
    <w:basedOn w:val="DefaultParagraphFont"/>
    <w:rsid w:val="00034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845629">
      <w:bodyDiv w:val="1"/>
      <w:marLeft w:val="0"/>
      <w:marRight w:val="0"/>
      <w:marTop w:val="0"/>
      <w:marBottom w:val="0"/>
      <w:divBdr>
        <w:top w:val="none" w:sz="0" w:space="0" w:color="auto"/>
        <w:left w:val="none" w:sz="0" w:space="0" w:color="auto"/>
        <w:bottom w:val="none" w:sz="0" w:space="0" w:color="auto"/>
        <w:right w:val="none" w:sz="0" w:space="0" w:color="auto"/>
      </w:divBdr>
    </w:div>
    <w:div w:id="920530365">
      <w:bodyDiv w:val="1"/>
      <w:marLeft w:val="0"/>
      <w:marRight w:val="0"/>
      <w:marTop w:val="0"/>
      <w:marBottom w:val="0"/>
      <w:divBdr>
        <w:top w:val="none" w:sz="0" w:space="0" w:color="auto"/>
        <w:left w:val="none" w:sz="0" w:space="0" w:color="auto"/>
        <w:bottom w:val="none" w:sz="0" w:space="0" w:color="auto"/>
        <w:right w:val="none" w:sz="0" w:space="0" w:color="auto"/>
      </w:divBdr>
    </w:div>
    <w:div w:id="1095512823">
      <w:bodyDiv w:val="1"/>
      <w:marLeft w:val="0"/>
      <w:marRight w:val="0"/>
      <w:marTop w:val="0"/>
      <w:marBottom w:val="0"/>
      <w:divBdr>
        <w:top w:val="none" w:sz="0" w:space="0" w:color="auto"/>
        <w:left w:val="none" w:sz="0" w:space="0" w:color="auto"/>
        <w:bottom w:val="none" w:sz="0" w:space="0" w:color="auto"/>
        <w:right w:val="none" w:sz="0" w:space="0" w:color="auto"/>
      </w:divBdr>
    </w:div>
    <w:div w:id="1339699514">
      <w:bodyDiv w:val="1"/>
      <w:marLeft w:val="0"/>
      <w:marRight w:val="0"/>
      <w:marTop w:val="0"/>
      <w:marBottom w:val="0"/>
      <w:divBdr>
        <w:top w:val="none" w:sz="0" w:space="0" w:color="auto"/>
        <w:left w:val="none" w:sz="0" w:space="0" w:color="auto"/>
        <w:bottom w:val="none" w:sz="0" w:space="0" w:color="auto"/>
        <w:right w:val="none" w:sz="0" w:space="0" w:color="auto"/>
      </w:divBdr>
    </w:div>
    <w:div w:id="1401975317">
      <w:bodyDiv w:val="1"/>
      <w:marLeft w:val="0"/>
      <w:marRight w:val="0"/>
      <w:marTop w:val="0"/>
      <w:marBottom w:val="0"/>
      <w:divBdr>
        <w:top w:val="none" w:sz="0" w:space="0" w:color="auto"/>
        <w:left w:val="none" w:sz="0" w:space="0" w:color="auto"/>
        <w:bottom w:val="none" w:sz="0" w:space="0" w:color="auto"/>
        <w:right w:val="none" w:sz="0" w:space="0" w:color="auto"/>
      </w:divBdr>
    </w:div>
    <w:div w:id="1431778239">
      <w:bodyDiv w:val="1"/>
      <w:marLeft w:val="0"/>
      <w:marRight w:val="0"/>
      <w:marTop w:val="0"/>
      <w:marBottom w:val="0"/>
      <w:divBdr>
        <w:top w:val="none" w:sz="0" w:space="0" w:color="auto"/>
        <w:left w:val="none" w:sz="0" w:space="0" w:color="auto"/>
        <w:bottom w:val="none" w:sz="0" w:space="0" w:color="auto"/>
        <w:right w:val="none" w:sz="0" w:space="0" w:color="auto"/>
      </w:divBdr>
    </w:div>
    <w:div w:id="1663046670">
      <w:bodyDiv w:val="1"/>
      <w:marLeft w:val="0"/>
      <w:marRight w:val="0"/>
      <w:marTop w:val="0"/>
      <w:marBottom w:val="0"/>
      <w:divBdr>
        <w:top w:val="none" w:sz="0" w:space="0" w:color="auto"/>
        <w:left w:val="none" w:sz="0" w:space="0" w:color="auto"/>
        <w:bottom w:val="none" w:sz="0" w:space="0" w:color="auto"/>
        <w:right w:val="none" w:sz="0" w:space="0" w:color="auto"/>
      </w:divBdr>
    </w:div>
    <w:div w:id="16743374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chart" Target="charts/chart3.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chart" Target="charts/chart2.xml"/><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chart" Target="charts/chart1.xml"/><Relationship Id="rId7" Type="http://schemas.openxmlformats.org/officeDocument/2006/relationships/image" Target="media/image2.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guritsk1/Desktop/spatial_paper/nodule_topology_transects.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guritsk1/Desktop/nodule_topology_transects.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guritsk1/Desktop/spatial_paper/inside_halite_qiime2/Standardized_taxa_comparis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06087795615666"/>
          <c:y val="0.131474075899005"/>
          <c:w val="0.884683626063205"/>
          <c:h val="0.787177732310598"/>
        </c:manualLayout>
      </c:layout>
      <c:barChart>
        <c:barDir val="col"/>
        <c:grouping val="clustered"/>
        <c:varyColors val="0"/>
        <c:ser>
          <c:idx val="0"/>
          <c:order val="0"/>
          <c:tx>
            <c:strRef>
              <c:f>'transect final'!$L$10</c:f>
              <c:strCache>
                <c:ptCount val="1"/>
                <c:pt idx="0">
                  <c:v>Flat polygon</c:v>
                </c:pt>
              </c:strCache>
            </c:strRef>
          </c:tx>
          <c:spPr>
            <a:solidFill>
              <a:schemeClr val="accent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final'!$K$11:$K$12</c:f>
              <c:strCache>
                <c:ptCount val="2"/>
                <c:pt idx="0">
                  <c:v>SG1-Bot</c:v>
                </c:pt>
                <c:pt idx="1">
                  <c:v>SG2</c:v>
                </c:pt>
              </c:strCache>
            </c:strRef>
          </c:cat>
          <c:val>
            <c:numRef>
              <c:f>'transect final'!$L$11:$L$12</c:f>
              <c:numCache>
                <c:formatCode>0.0</c:formatCode>
                <c:ptCount val="2"/>
                <c:pt idx="0">
                  <c:v>41.02035203520352</c:v>
                </c:pt>
                <c:pt idx="1">
                  <c:v>24.94499449944995</c:v>
                </c:pt>
              </c:numCache>
            </c:numRef>
          </c:val>
        </c:ser>
        <c:ser>
          <c:idx val="1"/>
          <c:order val="1"/>
          <c:tx>
            <c:strRef>
              <c:f>'transect final'!$M$10</c:f>
              <c:strCache>
                <c:ptCount val="1"/>
                <c:pt idx="0">
                  <c:v>Rising polygon</c:v>
                </c:pt>
              </c:strCache>
            </c:strRef>
          </c:tx>
          <c:spPr>
            <a:solidFill>
              <a:schemeClr val="accent2"/>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final'!$K$11:$K$12</c:f>
              <c:strCache>
                <c:ptCount val="2"/>
                <c:pt idx="0">
                  <c:v>SG1-Bot</c:v>
                </c:pt>
                <c:pt idx="1">
                  <c:v>SG2</c:v>
                </c:pt>
              </c:strCache>
            </c:strRef>
          </c:cat>
          <c:val>
            <c:numRef>
              <c:f>'transect final'!$M$11:$M$12</c:f>
              <c:numCache>
                <c:formatCode>0.0</c:formatCode>
                <c:ptCount val="2"/>
                <c:pt idx="0">
                  <c:v>21.85093509350935</c:v>
                </c:pt>
                <c:pt idx="1">
                  <c:v>30.56472313898056</c:v>
                </c:pt>
              </c:numCache>
            </c:numRef>
          </c:val>
        </c:ser>
        <c:ser>
          <c:idx val="2"/>
          <c:order val="2"/>
          <c:tx>
            <c:strRef>
              <c:f>'transect final'!$N$10</c:f>
              <c:strCache>
                <c:ptCount val="1"/>
                <c:pt idx="0">
                  <c:v>Flat nodule</c:v>
                </c:pt>
              </c:strCache>
            </c:strRef>
          </c:tx>
          <c:spPr>
            <a:solidFill>
              <a:schemeClr val="accent3"/>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final'!$K$11:$K$12</c:f>
              <c:strCache>
                <c:ptCount val="2"/>
                <c:pt idx="0">
                  <c:v>SG1-Bot</c:v>
                </c:pt>
                <c:pt idx="1">
                  <c:v>SG2</c:v>
                </c:pt>
              </c:strCache>
            </c:strRef>
          </c:cat>
          <c:val>
            <c:numRef>
              <c:f>'transect final'!$N$11:$N$12</c:f>
              <c:numCache>
                <c:formatCode>0.0</c:formatCode>
                <c:ptCount val="2"/>
                <c:pt idx="0">
                  <c:v>20.40704070407041</c:v>
                </c:pt>
                <c:pt idx="1">
                  <c:v>33.65419875320856</c:v>
                </c:pt>
              </c:numCache>
            </c:numRef>
          </c:val>
        </c:ser>
        <c:ser>
          <c:idx val="3"/>
          <c:order val="3"/>
          <c:tx>
            <c:strRef>
              <c:f>'transect final'!$O$10</c:f>
              <c:strCache>
                <c:ptCount val="1"/>
                <c:pt idx="0">
                  <c:v>Nodule</c:v>
                </c:pt>
              </c:strCache>
            </c:strRef>
          </c:tx>
          <c:spPr>
            <a:solidFill>
              <a:schemeClr val="accent4"/>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final'!$K$11:$K$12</c:f>
              <c:strCache>
                <c:ptCount val="2"/>
                <c:pt idx="0">
                  <c:v>SG1-Bot</c:v>
                </c:pt>
                <c:pt idx="1">
                  <c:v>SG2</c:v>
                </c:pt>
              </c:strCache>
            </c:strRef>
          </c:cat>
          <c:val>
            <c:numRef>
              <c:f>'transect final'!$O$11:$O$12</c:f>
              <c:numCache>
                <c:formatCode>0.0</c:formatCode>
                <c:ptCount val="2"/>
                <c:pt idx="0">
                  <c:v>12.11496149614961</c:v>
                </c:pt>
                <c:pt idx="1">
                  <c:v>8.351668500183352</c:v>
                </c:pt>
              </c:numCache>
            </c:numRef>
          </c:val>
        </c:ser>
        <c:dLbls>
          <c:showLegendKey val="0"/>
          <c:showVal val="0"/>
          <c:showCatName val="0"/>
          <c:showSerName val="0"/>
          <c:showPercent val="0"/>
          <c:showBubbleSize val="0"/>
        </c:dLbls>
        <c:gapWidth val="219"/>
        <c:overlap val="-27"/>
        <c:axId val="1908841680"/>
        <c:axId val="-2039063504"/>
      </c:barChart>
      <c:catAx>
        <c:axId val="1908841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039063504"/>
        <c:crosses val="autoZero"/>
        <c:auto val="1"/>
        <c:lblAlgn val="ctr"/>
        <c:lblOffset val="100"/>
        <c:noMultiLvlLbl val="0"/>
      </c:catAx>
      <c:valAx>
        <c:axId val="-2039063504"/>
        <c:scaling>
          <c:orientation val="minMax"/>
          <c:max val="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Relative</a:t>
                </a:r>
                <a:r>
                  <a:rPr lang="en-US" sz="1200" baseline="0"/>
                  <a:t> area covered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908841680"/>
        <c:crosses val="autoZero"/>
        <c:crossBetween val="between"/>
      </c:valAx>
      <c:spPr>
        <a:noFill/>
        <a:ln>
          <a:noFill/>
        </a:ln>
        <a:effectLst/>
      </c:spPr>
    </c:plotArea>
    <c:legend>
      <c:legendPos val="b"/>
      <c:layout>
        <c:manualLayout>
          <c:xMode val="edge"/>
          <c:yMode val="edge"/>
          <c:x val="0.21156988852101"/>
          <c:y val="0.0478193725006159"/>
          <c:w val="0.639260019923769"/>
          <c:h val="0.050632531730084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4027525405478"/>
          <c:y val="0.131474075899005"/>
          <c:w val="0.831264889965677"/>
          <c:h val="0.787177732310598"/>
        </c:manualLayout>
      </c:layout>
      <c:barChart>
        <c:barDir val="col"/>
        <c:grouping val="clustered"/>
        <c:varyColors val="0"/>
        <c:ser>
          <c:idx val="0"/>
          <c:order val="0"/>
          <c:tx>
            <c:strRef>
              <c:f>'transect final'!$L$6</c:f>
              <c:strCache>
                <c:ptCount val="1"/>
                <c:pt idx="0">
                  <c:v>Flat polygon</c:v>
                </c:pt>
              </c:strCache>
            </c:strRef>
          </c:tx>
          <c:spPr>
            <a:solidFill>
              <a:schemeClr val="accent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final'!$K$7:$K$8</c:f>
              <c:strCache>
                <c:ptCount val="2"/>
                <c:pt idx="0">
                  <c:v>SG1-Top</c:v>
                </c:pt>
                <c:pt idx="1">
                  <c:v>SG1-Bottom</c:v>
                </c:pt>
              </c:strCache>
            </c:strRef>
          </c:cat>
          <c:val>
            <c:numRef>
              <c:f>'transect final'!$L$7:$L$8</c:f>
              <c:numCache>
                <c:formatCode>0.0</c:formatCode>
                <c:ptCount val="2"/>
                <c:pt idx="0">
                  <c:v>12.43124312431243</c:v>
                </c:pt>
                <c:pt idx="1">
                  <c:v>41.02035203520352</c:v>
                </c:pt>
              </c:numCache>
            </c:numRef>
          </c:val>
        </c:ser>
        <c:ser>
          <c:idx val="1"/>
          <c:order val="1"/>
          <c:tx>
            <c:strRef>
              <c:f>'transect final'!$M$6</c:f>
              <c:strCache>
                <c:ptCount val="1"/>
                <c:pt idx="0">
                  <c:v>Rising polygon</c:v>
                </c:pt>
              </c:strCache>
            </c:strRef>
          </c:tx>
          <c:spPr>
            <a:solidFill>
              <a:schemeClr val="accent2"/>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final'!$K$7:$K$8</c:f>
              <c:strCache>
                <c:ptCount val="2"/>
                <c:pt idx="0">
                  <c:v>SG1-Top</c:v>
                </c:pt>
                <c:pt idx="1">
                  <c:v>SG1-Bottom</c:v>
                </c:pt>
              </c:strCache>
            </c:strRef>
          </c:cat>
          <c:val>
            <c:numRef>
              <c:f>'transect final'!$M$7:$M$8</c:f>
              <c:numCache>
                <c:formatCode>0.0</c:formatCode>
                <c:ptCount val="2"/>
                <c:pt idx="0">
                  <c:v>25.77007700770077</c:v>
                </c:pt>
                <c:pt idx="1">
                  <c:v>21.85093509350935</c:v>
                </c:pt>
              </c:numCache>
            </c:numRef>
          </c:val>
        </c:ser>
        <c:ser>
          <c:idx val="2"/>
          <c:order val="2"/>
          <c:tx>
            <c:strRef>
              <c:f>'transect final'!$N$6</c:f>
              <c:strCache>
                <c:ptCount val="1"/>
                <c:pt idx="0">
                  <c:v>Flat nodule</c:v>
                </c:pt>
              </c:strCache>
            </c:strRef>
          </c:tx>
          <c:spPr>
            <a:solidFill>
              <a:schemeClr val="accent3"/>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final'!$K$7:$K$8</c:f>
              <c:strCache>
                <c:ptCount val="2"/>
                <c:pt idx="0">
                  <c:v>SG1-Top</c:v>
                </c:pt>
                <c:pt idx="1">
                  <c:v>SG1-Bottom</c:v>
                </c:pt>
              </c:strCache>
            </c:strRef>
          </c:cat>
          <c:val>
            <c:numRef>
              <c:f>'transect final'!$N$7:$N$8</c:f>
              <c:numCache>
                <c:formatCode>0.0</c:formatCode>
                <c:ptCount val="2"/>
                <c:pt idx="0">
                  <c:v>32.65951595159516</c:v>
                </c:pt>
                <c:pt idx="1">
                  <c:v>20.40704070407041</c:v>
                </c:pt>
              </c:numCache>
            </c:numRef>
          </c:val>
        </c:ser>
        <c:ser>
          <c:idx val="3"/>
          <c:order val="3"/>
          <c:tx>
            <c:strRef>
              <c:f>'transect final'!$O$6</c:f>
              <c:strCache>
                <c:ptCount val="1"/>
                <c:pt idx="0">
                  <c:v>Nodule</c:v>
                </c:pt>
              </c:strCache>
            </c:strRef>
          </c:tx>
          <c:spPr>
            <a:solidFill>
              <a:schemeClr val="accent4"/>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'transect final'!$K$7:$K$8</c:f>
              <c:strCache>
                <c:ptCount val="2"/>
                <c:pt idx="0">
                  <c:v>SG1-Top</c:v>
                </c:pt>
                <c:pt idx="1">
                  <c:v>SG1-Bottom</c:v>
                </c:pt>
              </c:strCache>
            </c:strRef>
          </c:cat>
          <c:val>
            <c:numRef>
              <c:f>'transect final'!$O$7:$O$8</c:f>
              <c:numCache>
                <c:formatCode>0.0</c:formatCode>
                <c:ptCount val="2"/>
                <c:pt idx="0">
                  <c:v>25.60506050605061</c:v>
                </c:pt>
                <c:pt idx="1">
                  <c:v>12.11496149614961</c:v>
                </c:pt>
              </c:numCache>
            </c:numRef>
          </c:val>
        </c:ser>
        <c:dLbls>
          <c:showLegendKey val="0"/>
          <c:showVal val="0"/>
          <c:showCatName val="0"/>
          <c:showSerName val="0"/>
          <c:showPercent val="0"/>
          <c:showBubbleSize val="0"/>
        </c:dLbls>
        <c:gapWidth val="219"/>
        <c:overlap val="-27"/>
        <c:axId val="890908048"/>
        <c:axId val="-2039142256"/>
      </c:barChart>
      <c:catAx>
        <c:axId val="890908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2039142256"/>
        <c:crosses val="autoZero"/>
        <c:auto val="1"/>
        <c:lblAlgn val="ctr"/>
        <c:lblOffset val="100"/>
        <c:noMultiLvlLbl val="0"/>
      </c:catAx>
      <c:valAx>
        <c:axId val="-2039142256"/>
        <c:scaling>
          <c:orientation val="minMax"/>
          <c:max val="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Relative</a:t>
                </a:r>
                <a:r>
                  <a:rPr lang="en-US" sz="1200" baseline="0"/>
                  <a:t> area covered (%)</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90908048"/>
        <c:crosses val="autoZero"/>
        <c:crossBetween val="between"/>
      </c:valAx>
      <c:spPr>
        <a:noFill/>
        <a:ln>
          <a:noFill/>
        </a:ln>
        <a:effectLst/>
      </c:spPr>
    </c:plotArea>
    <c:legend>
      <c:legendPos val="b"/>
      <c:layout>
        <c:manualLayout>
          <c:xMode val="edge"/>
          <c:yMode val="edge"/>
          <c:x val="0.21156988852101"/>
          <c:y val="0.0478193725006159"/>
          <c:w val="0.639260019923769"/>
          <c:h val="0.0506325317300846"/>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Sheet1!$M$5</c:f>
              <c:strCache>
                <c:ptCount val="1"/>
                <c:pt idx="0">
                  <c:v>Top</c:v>
                </c:pt>
              </c:strCache>
            </c:strRef>
          </c:tx>
          <c:spPr>
            <a:solidFill>
              <a:schemeClr val="accent1"/>
            </a:solidFill>
            <a:ln>
              <a:noFill/>
            </a:ln>
            <a:effectLst/>
          </c:spPr>
          <c:invertIfNegative val="0"/>
          <c:errBars>
            <c:errBarType val="both"/>
            <c:errValType val="cust"/>
            <c:noEndCap val="0"/>
            <c:plus>
              <c:numRef>
                <c:f>Sheet1!$M$15:$M$21</c:f>
                <c:numCache>
                  <c:formatCode>General</c:formatCode>
                  <c:ptCount val="7"/>
                  <c:pt idx="0">
                    <c:v>1.005135987</c:v>
                  </c:pt>
                  <c:pt idx="1">
                    <c:v>0.378269802</c:v>
                  </c:pt>
                  <c:pt idx="2">
                    <c:v>0.797729847</c:v>
                  </c:pt>
                  <c:pt idx="3">
                    <c:v>0.215585183</c:v>
                  </c:pt>
                  <c:pt idx="4">
                    <c:v>0.059302046</c:v>
                  </c:pt>
                  <c:pt idx="5">
                    <c:v>0.068511776</c:v>
                  </c:pt>
                  <c:pt idx="6">
                    <c:v>0.029100796</c:v>
                  </c:pt>
                </c:numCache>
              </c:numRef>
            </c:plus>
            <c:minus>
              <c:numRef>
                <c:f>Sheet1!$M$15:$M$21</c:f>
                <c:numCache>
                  <c:formatCode>General</c:formatCode>
                  <c:ptCount val="7"/>
                  <c:pt idx="0">
                    <c:v>1.005135987</c:v>
                  </c:pt>
                  <c:pt idx="1">
                    <c:v>0.378269802</c:v>
                  </c:pt>
                  <c:pt idx="2">
                    <c:v>0.797729847</c:v>
                  </c:pt>
                  <c:pt idx="3">
                    <c:v>0.215585183</c:v>
                  </c:pt>
                  <c:pt idx="4">
                    <c:v>0.059302046</c:v>
                  </c:pt>
                  <c:pt idx="5">
                    <c:v>0.068511776</c:v>
                  </c:pt>
                  <c:pt idx="6">
                    <c:v>0.029100796</c:v>
                  </c:pt>
                </c:numCache>
              </c:numRef>
            </c:minus>
            <c:spPr>
              <a:noFill/>
              <a:ln w="9525">
                <a:solidFill>
                  <a:schemeClr val="tx1">
                    <a:lumMod val="50000"/>
                    <a:lumOff val="50000"/>
                  </a:schemeClr>
                </a:solidFill>
                <a:round/>
              </a:ln>
              <a:effectLst/>
            </c:spPr>
          </c:errBars>
          <c:cat>
            <c:strRef>
              <c:f>Sheet1!$L$6:$L$12</c:f>
              <c:strCache>
                <c:ptCount val="7"/>
                <c:pt idx="0">
                  <c:v>Euryarchaeota</c:v>
                </c:pt>
                <c:pt idx="1">
                  <c:v>Bacteroidetes</c:v>
                </c:pt>
                <c:pt idx="2">
                  <c:v>Cyanobacteria</c:v>
                </c:pt>
                <c:pt idx="3">
                  <c:v>Actinobacteria</c:v>
                </c:pt>
                <c:pt idx="4">
                  <c:v>Nanohaloarchaeota</c:v>
                </c:pt>
                <c:pt idx="5">
                  <c:v>Proteobacteria</c:v>
                </c:pt>
                <c:pt idx="6">
                  <c:v>Planctomycetes</c:v>
                </c:pt>
              </c:strCache>
            </c:strRef>
          </c:cat>
          <c:val>
            <c:numRef>
              <c:f>Sheet1!$M$6:$M$12</c:f>
              <c:numCache>
                <c:formatCode>General</c:formatCode>
                <c:ptCount val="7"/>
                <c:pt idx="0">
                  <c:v>70.61244163000001</c:v>
                </c:pt>
                <c:pt idx="1">
                  <c:v>11.46591187</c:v>
                </c:pt>
                <c:pt idx="2">
                  <c:v>9.244531500000001</c:v>
                </c:pt>
                <c:pt idx="3">
                  <c:v>0.886743192</c:v>
                </c:pt>
                <c:pt idx="4">
                  <c:v>0.893555986</c:v>
                </c:pt>
                <c:pt idx="5">
                  <c:v>0.585579893</c:v>
                </c:pt>
                <c:pt idx="6">
                  <c:v>0.258657603</c:v>
                </c:pt>
              </c:numCache>
            </c:numRef>
          </c:val>
        </c:ser>
        <c:ser>
          <c:idx val="1"/>
          <c:order val="1"/>
          <c:tx>
            <c:strRef>
              <c:f>Sheet1!$N$5</c:f>
              <c:strCache>
                <c:ptCount val="1"/>
                <c:pt idx="0">
                  <c:v>Middle</c:v>
                </c:pt>
              </c:strCache>
            </c:strRef>
          </c:tx>
          <c:spPr>
            <a:solidFill>
              <a:schemeClr val="accent2"/>
            </a:solidFill>
            <a:ln>
              <a:noFill/>
            </a:ln>
            <a:effectLst/>
          </c:spPr>
          <c:invertIfNegative val="0"/>
          <c:errBars>
            <c:errBarType val="both"/>
            <c:errValType val="cust"/>
            <c:noEndCap val="0"/>
            <c:plus>
              <c:numRef>
                <c:f>Sheet1!$N$15:$N$21</c:f>
                <c:numCache>
                  <c:formatCode>General</c:formatCode>
                  <c:ptCount val="7"/>
                  <c:pt idx="0">
                    <c:v>0.869148778</c:v>
                  </c:pt>
                  <c:pt idx="1">
                    <c:v>0.374203509</c:v>
                  </c:pt>
                  <c:pt idx="2">
                    <c:v>0.491082984</c:v>
                  </c:pt>
                  <c:pt idx="3">
                    <c:v>0.24013083</c:v>
                  </c:pt>
                  <c:pt idx="4">
                    <c:v>0.057850715</c:v>
                  </c:pt>
                  <c:pt idx="5">
                    <c:v>0.046354011</c:v>
                  </c:pt>
                  <c:pt idx="6">
                    <c:v>0.030909063</c:v>
                  </c:pt>
                </c:numCache>
              </c:numRef>
            </c:plus>
            <c:minus>
              <c:numRef>
                <c:f>Sheet1!$N$15:$N$21</c:f>
                <c:numCache>
                  <c:formatCode>General</c:formatCode>
                  <c:ptCount val="7"/>
                  <c:pt idx="0">
                    <c:v>0.869148778</c:v>
                  </c:pt>
                  <c:pt idx="1">
                    <c:v>0.374203509</c:v>
                  </c:pt>
                  <c:pt idx="2">
                    <c:v>0.491082984</c:v>
                  </c:pt>
                  <c:pt idx="3">
                    <c:v>0.24013083</c:v>
                  </c:pt>
                  <c:pt idx="4">
                    <c:v>0.057850715</c:v>
                  </c:pt>
                  <c:pt idx="5">
                    <c:v>0.046354011</c:v>
                  </c:pt>
                  <c:pt idx="6">
                    <c:v>0.030909063</c:v>
                  </c:pt>
                </c:numCache>
              </c:numRef>
            </c:minus>
            <c:spPr>
              <a:noFill/>
              <a:ln w="9525">
                <a:solidFill>
                  <a:schemeClr val="tx1">
                    <a:lumMod val="50000"/>
                    <a:lumOff val="50000"/>
                  </a:schemeClr>
                </a:solidFill>
                <a:round/>
              </a:ln>
              <a:effectLst/>
            </c:spPr>
          </c:errBars>
          <c:cat>
            <c:strRef>
              <c:f>Sheet1!$L$6:$L$12</c:f>
              <c:strCache>
                <c:ptCount val="7"/>
                <c:pt idx="0">
                  <c:v>Euryarchaeota</c:v>
                </c:pt>
                <c:pt idx="1">
                  <c:v>Bacteroidetes</c:v>
                </c:pt>
                <c:pt idx="2">
                  <c:v>Cyanobacteria</c:v>
                </c:pt>
                <c:pt idx="3">
                  <c:v>Actinobacteria</c:v>
                </c:pt>
                <c:pt idx="4">
                  <c:v>Nanohaloarchaeota</c:v>
                </c:pt>
                <c:pt idx="5">
                  <c:v>Proteobacteria</c:v>
                </c:pt>
                <c:pt idx="6">
                  <c:v>Planctomycetes</c:v>
                </c:pt>
              </c:strCache>
            </c:strRef>
          </c:cat>
          <c:val>
            <c:numRef>
              <c:f>Sheet1!$N$6:$N$12</c:f>
              <c:numCache>
                <c:formatCode>General</c:formatCode>
                <c:ptCount val="7"/>
                <c:pt idx="0">
                  <c:v>69.19022624</c:v>
                </c:pt>
                <c:pt idx="1">
                  <c:v>11.93686066</c:v>
                </c:pt>
                <c:pt idx="2">
                  <c:v>5.502554936999978</c:v>
                </c:pt>
                <c:pt idx="3">
                  <c:v>2.045209113999999</c:v>
                </c:pt>
                <c:pt idx="4">
                  <c:v>1.543608363</c:v>
                </c:pt>
                <c:pt idx="5">
                  <c:v>1.021169963</c:v>
                </c:pt>
                <c:pt idx="6">
                  <c:v>0.407149291</c:v>
                </c:pt>
              </c:numCache>
            </c:numRef>
          </c:val>
        </c:ser>
        <c:ser>
          <c:idx val="2"/>
          <c:order val="2"/>
          <c:tx>
            <c:strRef>
              <c:f>Sheet1!$O$5</c:f>
              <c:strCache>
                <c:ptCount val="1"/>
                <c:pt idx="0">
                  <c:v>Bottom</c:v>
                </c:pt>
              </c:strCache>
            </c:strRef>
          </c:tx>
          <c:spPr>
            <a:solidFill>
              <a:schemeClr val="accent3"/>
            </a:solidFill>
            <a:ln>
              <a:noFill/>
            </a:ln>
            <a:effectLst/>
          </c:spPr>
          <c:invertIfNegative val="0"/>
          <c:errBars>
            <c:errBarType val="both"/>
            <c:errValType val="cust"/>
            <c:noEndCap val="0"/>
            <c:plus>
              <c:numRef>
                <c:f>Sheet1!$O$15:$O$21</c:f>
                <c:numCache>
                  <c:formatCode>General</c:formatCode>
                  <c:ptCount val="7"/>
                  <c:pt idx="0">
                    <c:v>0.968834818</c:v>
                  </c:pt>
                  <c:pt idx="1">
                    <c:v>0.462056566</c:v>
                  </c:pt>
                  <c:pt idx="2">
                    <c:v>0.765587866</c:v>
                  </c:pt>
                  <c:pt idx="3">
                    <c:v>0.211645614</c:v>
                  </c:pt>
                  <c:pt idx="4">
                    <c:v>0.074700776</c:v>
                  </c:pt>
                  <c:pt idx="5">
                    <c:v>0.083484816</c:v>
                  </c:pt>
                  <c:pt idx="6">
                    <c:v>0.041443854</c:v>
                  </c:pt>
                </c:numCache>
              </c:numRef>
            </c:plus>
            <c:minus>
              <c:numRef>
                <c:f>Sheet1!$O$15:$O$21</c:f>
                <c:numCache>
                  <c:formatCode>General</c:formatCode>
                  <c:ptCount val="7"/>
                  <c:pt idx="0">
                    <c:v>0.968834818</c:v>
                  </c:pt>
                  <c:pt idx="1">
                    <c:v>0.462056566</c:v>
                  </c:pt>
                  <c:pt idx="2">
                    <c:v>0.765587866</c:v>
                  </c:pt>
                  <c:pt idx="3">
                    <c:v>0.211645614</c:v>
                  </c:pt>
                  <c:pt idx="4">
                    <c:v>0.074700776</c:v>
                  </c:pt>
                  <c:pt idx="5">
                    <c:v>0.083484816</c:v>
                  </c:pt>
                  <c:pt idx="6">
                    <c:v>0.041443854</c:v>
                  </c:pt>
                </c:numCache>
              </c:numRef>
            </c:minus>
            <c:spPr>
              <a:noFill/>
              <a:ln w="9525">
                <a:solidFill>
                  <a:schemeClr val="tx1">
                    <a:lumMod val="50000"/>
                    <a:lumOff val="50000"/>
                  </a:schemeClr>
                </a:solidFill>
                <a:round/>
              </a:ln>
              <a:effectLst/>
            </c:spPr>
          </c:errBars>
          <c:cat>
            <c:strRef>
              <c:f>Sheet1!$L$6:$L$12</c:f>
              <c:strCache>
                <c:ptCount val="7"/>
                <c:pt idx="0">
                  <c:v>Euryarchaeota</c:v>
                </c:pt>
                <c:pt idx="1">
                  <c:v>Bacteroidetes</c:v>
                </c:pt>
                <c:pt idx="2">
                  <c:v>Cyanobacteria</c:v>
                </c:pt>
                <c:pt idx="3">
                  <c:v>Actinobacteria</c:v>
                </c:pt>
                <c:pt idx="4">
                  <c:v>Nanohaloarchaeota</c:v>
                </c:pt>
                <c:pt idx="5">
                  <c:v>Proteobacteria</c:v>
                </c:pt>
                <c:pt idx="6">
                  <c:v>Planctomycetes</c:v>
                </c:pt>
              </c:strCache>
            </c:strRef>
          </c:cat>
          <c:val>
            <c:numRef>
              <c:f>Sheet1!$O$6:$O$12</c:f>
              <c:numCache>
                <c:formatCode>General</c:formatCode>
                <c:ptCount val="7"/>
                <c:pt idx="0">
                  <c:v>74.18310756</c:v>
                </c:pt>
                <c:pt idx="1">
                  <c:v>9.94202201</c:v>
                </c:pt>
                <c:pt idx="2">
                  <c:v>6.705205959</c:v>
                </c:pt>
                <c:pt idx="3">
                  <c:v>0.635297498</c:v>
                </c:pt>
                <c:pt idx="4">
                  <c:v>1.001122765</c:v>
                </c:pt>
                <c:pt idx="5">
                  <c:v>0.722993023</c:v>
                </c:pt>
                <c:pt idx="6">
                  <c:v>0.192923009</c:v>
                </c:pt>
              </c:numCache>
            </c:numRef>
          </c:val>
        </c:ser>
        <c:dLbls>
          <c:showLegendKey val="0"/>
          <c:showVal val="0"/>
          <c:showCatName val="0"/>
          <c:showSerName val="0"/>
          <c:showPercent val="0"/>
          <c:showBubbleSize val="0"/>
        </c:dLbls>
        <c:gapWidth val="219"/>
        <c:overlap val="-27"/>
        <c:axId val="-2038675952"/>
        <c:axId val="-2039011440"/>
      </c:barChart>
      <c:catAx>
        <c:axId val="-2038675952"/>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600" b="0" i="0" u="none" strike="noStrike" kern="1200" cap="none" spc="0" normalizeH="0" baseline="0">
                <a:solidFill>
                  <a:schemeClr val="tx1">
                    <a:lumMod val="65000"/>
                    <a:lumOff val="35000"/>
                  </a:schemeClr>
                </a:solidFill>
                <a:latin typeface="+mn-lt"/>
                <a:ea typeface="+mn-ea"/>
                <a:cs typeface="+mn-cs"/>
              </a:defRPr>
            </a:pPr>
            <a:endParaRPr lang="en-US"/>
          </a:p>
        </c:txPr>
        <c:crossAx val="-2039011440"/>
        <c:crossesAt val="0.1"/>
        <c:auto val="1"/>
        <c:lblAlgn val="ctr"/>
        <c:lblOffset val="100"/>
        <c:noMultiLvlLbl val="0"/>
      </c:catAx>
      <c:valAx>
        <c:axId val="-2039011440"/>
        <c:scaling>
          <c:logBase val="10.0"/>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600" b="0" i="0" u="none" strike="noStrike" kern="1200" cap="all" baseline="0">
                    <a:solidFill>
                      <a:schemeClr val="tx1">
                        <a:lumMod val="65000"/>
                        <a:lumOff val="35000"/>
                      </a:schemeClr>
                    </a:solidFill>
                    <a:latin typeface="+mn-lt"/>
                    <a:ea typeface="+mn-ea"/>
                    <a:cs typeface="+mn-cs"/>
                  </a:defRPr>
                </a:pPr>
                <a:r>
                  <a:rPr lang="en-US"/>
                  <a:t>Relative</a:t>
                </a:r>
                <a:r>
                  <a:rPr lang="en-US" baseline="0"/>
                  <a:t> abundance (log 10(%)</a:t>
                </a:r>
                <a:endParaRPr lang="en-US"/>
              </a:p>
            </c:rich>
          </c:tx>
          <c:overlay val="0"/>
          <c:spPr>
            <a:noFill/>
            <a:ln>
              <a:noFill/>
            </a:ln>
            <a:effectLst/>
          </c:spPr>
          <c:txPr>
            <a:bodyPr rot="-5400000" spcFirstLastPara="1" vertOverflow="ellipsis" vert="horz" wrap="square" anchor="ctr" anchorCtr="1"/>
            <a:lstStyle/>
            <a:p>
              <a:pPr>
                <a:defRPr sz="16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20386759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6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tx1">
        <a:lumMod val="65000"/>
        <a:lumOff val="35000"/>
      </a:schemeClr>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5400" cap="flat" cmpd="dbl" algn="ctr">
        <a:solidFill>
          <a:schemeClr val="phClr">
            <a:alpha val="50000"/>
          </a:schemeClr>
        </a:solidFill>
        <a:round/>
      </a:ln>
    </cs:spPr>
  </cs:dataPointLine>
  <cs:dataPointMarker>
    <cs:lnRef idx="0">
      <cs:styleClr val="auto"/>
    </cs:lnRef>
    <cs:fillRef idx="0">
      <cs:styleClr val="auto"/>
    </cs:fillRef>
    <cs:effectRef idx="0"/>
    <cs:fontRef idx="minor">
      <a:schemeClr val="dk1"/>
    </cs:fontRef>
    <cs:spPr>
      <a:ln w="34925" cap="flat" cmpd="dbl" algn="ctr">
        <a:solidFill>
          <a:schemeClr val="phClr">
            <a:lumMod val="75000"/>
            <a:alpha val="70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kern="1200" spc="0" normalizeH="0" baseline="0"/>
  </cs:title>
  <cs:trendline>
    <cs:lnRef idx="0">
      <cs:styleClr val="0"/>
    </cs:lnRef>
    <cs:fillRef idx="0"/>
    <cs:effectRef idx="0"/>
    <cs:fontRef idx="minor">
      <a:schemeClr val="tx1"/>
    </cs:fontRef>
    <cs:spPr>
      <a:ln w="38100" cap="rnd" cmpd="sng" algn="ctr">
        <a:solidFill>
          <a:schemeClr val="phClr">
            <a:lumMod val="75000"/>
            <a:alpha val="25000"/>
          </a:scheme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b="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15</Pages>
  <Words>1047</Words>
  <Characters>5971</Characters>
  <Application>Microsoft Macintosh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18</cp:revision>
  <dcterms:created xsi:type="dcterms:W3CDTF">2018-11-08T15:08:00Z</dcterms:created>
  <dcterms:modified xsi:type="dcterms:W3CDTF">2019-09-13T16:11:00Z</dcterms:modified>
</cp:coreProperties>
</file>